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#99</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1911821</w:t>
      </w:r>
    </w:p>
    <w:p>
      <w:pPr>
        <w:pStyle w:val="94"/>
        <w:tabs>
          <w:tab w:val="right" w:pos="9270"/>
        </w:tabs>
        <w:spacing w:after="0"/>
        <w:ind w:right="134"/>
        <w:jc w:val="both"/>
        <w:rPr>
          <w:b/>
          <w:sz w:val="22"/>
          <w:szCs w:val="22"/>
          <w:lang w:val="sv-SE"/>
        </w:rPr>
      </w:pPr>
      <w:r>
        <w:rPr>
          <w:rFonts w:hint="eastAsia" w:eastAsia="宋体"/>
          <w:b/>
          <w:sz w:val="22"/>
          <w:szCs w:val="22"/>
          <w:lang w:val="en-US" w:eastAsia="zh-CN"/>
        </w:rPr>
        <w:t>Reno</w:t>
      </w:r>
      <w:r>
        <w:rPr>
          <w:rFonts w:eastAsia="宋体"/>
          <w:b/>
          <w:sz w:val="22"/>
          <w:szCs w:val="22"/>
          <w:lang w:val="sv-SE" w:eastAsia="ja-JP"/>
        </w:rPr>
        <w:t>,</w:t>
      </w:r>
      <w:r>
        <w:rPr>
          <w:rFonts w:hint="eastAsia" w:eastAsia="宋体"/>
          <w:b/>
          <w:sz w:val="22"/>
          <w:szCs w:val="22"/>
          <w:lang w:val="en-US" w:eastAsia="zh-CN"/>
        </w:rPr>
        <w:t xml:space="preserve"> USA</w:t>
      </w:r>
      <w:r>
        <w:rPr>
          <w:rFonts w:eastAsia="宋体"/>
          <w:b/>
          <w:sz w:val="22"/>
          <w:szCs w:val="22"/>
          <w:lang w:val="sv-SE" w:eastAsia="ja-JP"/>
        </w:rPr>
        <w:t xml:space="preserve">, </w:t>
      </w:r>
      <w:r>
        <w:rPr>
          <w:rFonts w:hint="eastAsia" w:eastAsia="宋体"/>
          <w:b/>
          <w:sz w:val="22"/>
          <w:szCs w:val="22"/>
          <w:lang w:val="en-US" w:eastAsia="zh-CN"/>
        </w:rPr>
        <w:t>18</w:t>
      </w:r>
      <w:r>
        <w:rPr>
          <w:rFonts w:eastAsia="宋体"/>
          <w:b/>
          <w:sz w:val="22"/>
          <w:szCs w:val="22"/>
          <w:vertAlign w:val="superscript"/>
          <w:lang w:val="sv-SE" w:eastAsia="ja-JP"/>
        </w:rPr>
        <w:t>th</w:t>
      </w:r>
      <w:r>
        <w:rPr>
          <w:rFonts w:eastAsia="宋体"/>
          <w:b/>
          <w:sz w:val="22"/>
          <w:szCs w:val="22"/>
          <w:lang w:val="sv-SE" w:eastAsia="ja-JP"/>
        </w:rPr>
        <w:t xml:space="preserve"> – </w:t>
      </w:r>
      <w:r>
        <w:rPr>
          <w:rFonts w:hint="eastAsia" w:eastAsia="宋体"/>
          <w:b/>
          <w:sz w:val="22"/>
          <w:szCs w:val="22"/>
          <w:lang w:val="en-US" w:eastAsia="zh-CN"/>
        </w:rPr>
        <w:t>22</w:t>
      </w:r>
      <w:r>
        <w:rPr>
          <w:rFonts w:hint="eastAsia" w:eastAsia="宋体"/>
          <w:b/>
          <w:sz w:val="22"/>
          <w:szCs w:val="22"/>
          <w:vertAlign w:val="superscript"/>
          <w:lang w:val="en-US" w:eastAsia="zh-CN"/>
        </w:rPr>
        <w:t>th</w:t>
      </w:r>
      <w:r>
        <w:rPr>
          <w:rFonts w:eastAsia="宋体"/>
          <w:b/>
          <w:sz w:val="22"/>
          <w:szCs w:val="22"/>
          <w:lang w:val="sv-SE" w:eastAsia="ja-JP"/>
        </w:rPr>
        <w:t xml:space="preserve"> </w:t>
      </w:r>
      <w:r>
        <w:rPr>
          <w:rFonts w:hint="eastAsia" w:eastAsia="宋体"/>
          <w:b/>
          <w:sz w:val="22"/>
          <w:szCs w:val="22"/>
          <w:lang w:val="en-US" w:eastAsia="zh-CN"/>
        </w:rPr>
        <w:t>November</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21"/>
        <w:spacing w:after="0" w:line="260" w:lineRule="auto"/>
        <w:ind w:left="1797" w:hanging="1797"/>
        <w:rPr>
          <w:rFonts w:eastAsia="宋体"/>
          <w:sz w:val="22"/>
          <w:szCs w:val="22"/>
          <w:lang w:eastAsia="zh-CN"/>
        </w:rPr>
      </w:pPr>
    </w:p>
    <w:p>
      <w:pPr>
        <w:pStyle w:val="21"/>
        <w:spacing w:after="0" w:line="260" w:lineRule="auto"/>
        <w:ind w:left="1797" w:hanging="1797"/>
        <w:rPr>
          <w:rFonts w:eastAsia="宋体"/>
          <w:sz w:val="22"/>
          <w:szCs w:val="22"/>
          <w:lang w:eastAsia="zh-CN"/>
        </w:rPr>
      </w:pPr>
      <w:r>
        <w:rPr>
          <w:rFonts w:eastAsia="宋体"/>
          <w:sz w:val="22"/>
          <w:szCs w:val="22"/>
          <w:lang w:eastAsia="zh-CN"/>
        </w:rPr>
        <w:t>Title:</w:t>
      </w:r>
      <w:r>
        <w:rPr>
          <w:rFonts w:hint="eastAsia" w:eastAsia="宋体"/>
          <w:sz w:val="22"/>
          <w:szCs w:val="22"/>
          <w:lang w:val="en-US" w:eastAsia="zh-CN"/>
        </w:rPr>
        <w:tab/>
      </w:r>
      <w:r>
        <w:rPr>
          <w:rFonts w:hint="eastAsia" w:eastAsia="宋体"/>
          <w:sz w:val="22"/>
          <w:szCs w:val="22"/>
          <w:lang w:val="en-US" w:eastAsia="zh-CN"/>
        </w:rPr>
        <w:t>Remaining issues on UL reference signals and channels design for NR-U</w:t>
      </w:r>
    </w:p>
    <w:p>
      <w:pPr>
        <w:pStyle w:val="21"/>
        <w:tabs>
          <w:tab w:val="left" w:pos="1805"/>
        </w:tabs>
        <w:spacing w:after="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 Sanechips</w:t>
      </w:r>
    </w:p>
    <w:p>
      <w:pPr>
        <w:pStyle w:val="21"/>
        <w:tabs>
          <w:tab w:val="left" w:pos="1800"/>
        </w:tabs>
        <w:spacing w:after="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1.3</w:t>
      </w:r>
    </w:p>
    <w:p>
      <w:pPr>
        <w:pStyle w:val="21"/>
        <w:tabs>
          <w:tab w:val="left" w:pos="1800"/>
        </w:tabs>
        <w:spacing w:after="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tabs>
          <w:tab w:val="left" w:pos="6139"/>
        </w:tabs>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r>
        <w:rPr>
          <w:rFonts w:hint="eastAsia" w:eastAsia="宋体" w:cs="Arial"/>
          <w:b/>
          <w:sz w:val="28"/>
          <w:szCs w:val="28"/>
          <w:lang w:eastAsia="zh-CN"/>
        </w:rPr>
        <w:tab/>
      </w:r>
    </w:p>
    <w:p>
      <w:pPr>
        <w:widowControl w:val="0"/>
        <w:autoSpaceDE w:val="0"/>
        <w:autoSpaceDN w:val="0"/>
        <w:adjustRightInd w:val="0"/>
        <w:spacing w:before="180"/>
        <w:jc w:val="both"/>
        <w:rPr>
          <w:rFonts w:hint="eastAsia" w:eastAsia="宋体"/>
          <w:lang w:val="en-US" w:eastAsia="zh-CN"/>
        </w:rPr>
      </w:pPr>
      <w:bookmarkStart w:id="1" w:name="OLE_LINK16"/>
      <w:bookmarkStart w:id="2" w:name="OLE_LINK1"/>
      <w:bookmarkStart w:id="3" w:name="OLE_LINK15"/>
      <w:bookmarkStart w:id="4" w:name="OLE_LINK2"/>
      <w:r>
        <w:rPr>
          <w:rFonts w:eastAsia="宋体"/>
          <w:lang w:val="en-US" w:eastAsia="zh-CN"/>
        </w:rPr>
        <w:t>In</w:t>
      </w:r>
      <w:r>
        <w:rPr>
          <w:rFonts w:hint="eastAsia" w:eastAsia="宋体"/>
          <w:lang w:val="en-US" w:eastAsia="zh-CN"/>
        </w:rPr>
        <w:t xml:space="preserve"> RAN1 #98b meeting[1], the </w:t>
      </w:r>
      <w:r>
        <w:rPr>
          <w:rFonts w:eastAsia="宋体"/>
          <w:lang w:val="en-US" w:eastAsia="zh-CN"/>
        </w:rPr>
        <w:t>following</w:t>
      </w:r>
      <w:r>
        <w:rPr>
          <w:rFonts w:hint="eastAsia" w:eastAsia="宋体"/>
          <w:lang w:val="en-US" w:eastAsia="zh-CN"/>
        </w:rPr>
        <w:t xml:space="preserve"> agreements </w:t>
      </w:r>
      <w:r>
        <w:rPr>
          <w:rFonts w:eastAsia="宋体"/>
          <w:lang w:val="en-US" w:eastAsia="zh-CN"/>
        </w:rPr>
        <w:t>were</w:t>
      </w:r>
      <w:r>
        <w:rPr>
          <w:rFonts w:hint="eastAsia" w:eastAsia="宋体"/>
          <w:lang w:val="en-US" w:eastAsia="zh-CN"/>
        </w:rPr>
        <w:t xml:space="preserve"> reached on UL signals and channels design for NR-U.</w:t>
      </w:r>
    </w:p>
    <w:p>
      <w:pPr>
        <w:spacing w:after="60" w:line="260" w:lineRule="auto"/>
      </w:pPr>
      <w:r>
        <w:rPr>
          <w:highlight w:val="green"/>
        </w:rPr>
        <w:t>Agreement:</w:t>
      </w:r>
    </w:p>
    <w:p>
      <w:pPr>
        <w:spacing w:after="0" w:line="260" w:lineRule="auto"/>
        <w:rPr>
          <w:i/>
          <w:iCs/>
        </w:rPr>
      </w:pPr>
      <w:r>
        <w:rPr>
          <w:i/>
          <w:iCs/>
        </w:rPr>
        <w:t>Update the RRC parameter InterlaceAllocation-r16 (defined for a dedicated PUCCH resource) with the following:</w:t>
      </w:r>
    </w:p>
    <w:p>
      <w:pPr>
        <w:numPr>
          <w:ilvl w:val="0"/>
          <w:numId w:val="10"/>
        </w:numPr>
        <w:spacing w:after="0" w:line="260" w:lineRule="auto"/>
        <w:rPr>
          <w:i/>
          <w:iCs/>
        </w:rPr>
      </w:pPr>
      <w:r>
        <w:rPr>
          <w:i/>
          <w:iCs/>
        </w:rPr>
        <w:t>Index of 1st interlace</w:t>
      </w:r>
    </w:p>
    <w:p>
      <w:pPr>
        <w:numPr>
          <w:ilvl w:val="0"/>
          <w:numId w:val="10"/>
        </w:numPr>
        <w:spacing w:after="0" w:line="260" w:lineRule="auto"/>
        <w:rPr>
          <w:i/>
          <w:iCs/>
        </w:rPr>
      </w:pPr>
      <w:r>
        <w:rPr>
          <w:i/>
          <w:iCs/>
        </w:rPr>
        <w:t>Indication of the 2nd interlace index (if 2nd interlace is configured)</w:t>
      </w:r>
    </w:p>
    <w:p>
      <w:pPr>
        <w:numPr>
          <w:ilvl w:val="1"/>
          <w:numId w:val="10"/>
        </w:numPr>
        <w:spacing w:after="0" w:line="260" w:lineRule="auto"/>
        <w:rPr>
          <w:i/>
          <w:iCs/>
        </w:rPr>
      </w:pPr>
      <w:r>
        <w:rPr>
          <w:i/>
          <w:iCs/>
        </w:rPr>
        <w:t>FFS: How the indication is achieved</w:t>
      </w:r>
    </w:p>
    <w:p>
      <w:pPr>
        <w:numPr>
          <w:ilvl w:val="0"/>
          <w:numId w:val="10"/>
        </w:numPr>
        <w:spacing w:after="0" w:line="260" w:lineRule="auto"/>
        <w:rPr>
          <w:rFonts w:hint="eastAsia" w:eastAsia="宋体"/>
          <w:i/>
          <w:iCs/>
          <w:lang w:val="en-US" w:eastAsia="zh-CN"/>
        </w:rPr>
      </w:pPr>
      <w:r>
        <w:rPr>
          <w:i/>
          <w:iCs/>
        </w:rPr>
        <w:t>Indication of the LBT bandwidth location in which the PUCCH resource is configured</w:t>
      </w:r>
    </w:p>
    <w:p>
      <w:pPr>
        <w:spacing w:before="137" w:beforeLines="50" w:after="60" w:line="260" w:lineRule="auto"/>
      </w:pPr>
      <w:r>
        <w:rPr>
          <w:highlight w:val="green"/>
        </w:rPr>
        <w:t>Agreement:</w:t>
      </w:r>
    </w:p>
    <w:p>
      <w:pPr>
        <w:spacing w:after="0" w:line="260" w:lineRule="auto"/>
        <w:rPr>
          <w:i/>
          <w:iCs/>
        </w:rPr>
      </w:pPr>
      <w:r>
        <w:rPr>
          <w:i/>
          <w:iCs/>
        </w:rPr>
        <w:t>For PUCCH Formats 2 and 3 configured with interlace mapping, the number of configured interlaces is 1 or 2</w:t>
      </w:r>
    </w:p>
    <w:p>
      <w:pPr>
        <w:numPr>
          <w:ilvl w:val="0"/>
          <w:numId w:val="11"/>
        </w:numPr>
        <w:spacing w:after="0" w:line="260" w:lineRule="auto"/>
        <w:rPr>
          <w:i/>
          <w:iCs/>
        </w:rPr>
      </w:pPr>
      <w:r>
        <w:rPr>
          <w:i/>
          <w:iCs/>
        </w:rPr>
        <w:t>For Interlaced PF3:</w:t>
      </w:r>
    </w:p>
    <w:p>
      <w:pPr>
        <w:numPr>
          <w:ilvl w:val="1"/>
          <w:numId w:val="11"/>
        </w:numPr>
        <w:spacing w:after="0" w:line="260" w:lineRule="auto"/>
        <w:rPr>
          <w:i/>
          <w:iCs/>
        </w:rPr>
      </w:pPr>
      <w:r>
        <w:rPr>
          <w:i/>
          <w:iCs/>
        </w:rPr>
        <w:t>NPUCCH = 10 if one interlaced is configured (as previously agreed)</w:t>
      </w:r>
    </w:p>
    <w:p>
      <w:pPr>
        <w:numPr>
          <w:ilvl w:val="1"/>
          <w:numId w:val="11"/>
        </w:numPr>
        <w:spacing w:after="0" w:line="260" w:lineRule="auto"/>
        <w:rPr>
          <w:i/>
          <w:iCs/>
        </w:rPr>
      </w:pPr>
      <w:r>
        <w:rPr>
          <w:i/>
          <w:iCs/>
        </w:rPr>
        <w:t>NPUCCH = 20 if two interlaces are configured</w:t>
      </w:r>
    </w:p>
    <w:p>
      <w:pPr>
        <w:numPr>
          <w:ilvl w:val="0"/>
          <w:numId w:val="11"/>
        </w:numPr>
        <w:spacing w:after="0" w:line="260" w:lineRule="auto"/>
        <w:rPr>
          <w:i/>
          <w:iCs/>
        </w:rPr>
      </w:pPr>
      <w:r>
        <w:rPr>
          <w:i/>
          <w:iCs/>
        </w:rPr>
        <w:t>UE should use either one full interlace or two full interlaces according to configured maximum code rate and actual UCI payload size (subject to FFS below on the case of a BWP possible less than full carrier BW)</w:t>
      </w:r>
    </w:p>
    <w:p>
      <w:pPr>
        <w:numPr>
          <w:ilvl w:val="1"/>
          <w:numId w:val="11"/>
        </w:numPr>
        <w:spacing w:after="0" w:line="260" w:lineRule="auto"/>
        <w:rPr>
          <w:i/>
          <w:iCs/>
        </w:rPr>
      </w:pPr>
      <w:r>
        <w:rPr>
          <w:i/>
          <w:iCs/>
        </w:rPr>
        <w:t>FFS: In case one interlace is used, which interlace is used</w:t>
      </w:r>
    </w:p>
    <w:p>
      <w:pPr>
        <w:numPr>
          <w:ilvl w:val="0"/>
          <w:numId w:val="11"/>
        </w:numPr>
        <w:spacing w:after="0" w:line="260" w:lineRule="auto"/>
        <w:rPr>
          <w:i/>
          <w:iCs/>
        </w:rPr>
      </w:pPr>
      <w:r>
        <w:rPr>
          <w:i/>
          <w:iCs/>
        </w:rPr>
        <w:t>FFS: If two interlaces are configured, whether or not there are configuration restrictions on the spacing between the two interlaces</w:t>
      </w:r>
    </w:p>
    <w:p>
      <w:pPr>
        <w:numPr>
          <w:ilvl w:val="0"/>
          <w:numId w:val="11"/>
        </w:numPr>
        <w:spacing w:after="0" w:line="260" w:lineRule="auto"/>
        <w:rPr>
          <w:i/>
          <w:iCs/>
        </w:rPr>
      </w:pPr>
      <w:r>
        <w:rPr>
          <w:i/>
          <w:iCs/>
        </w:rPr>
        <w:t xml:space="preserve">FFS: For a 20 MHz carrier bandwidth, whether a BWP can be configured to be less than the carrier bandwidth. </w:t>
      </w:r>
    </w:p>
    <w:p>
      <w:pPr>
        <w:numPr>
          <w:ilvl w:val="1"/>
          <w:numId w:val="11"/>
        </w:numPr>
        <w:spacing w:after="0" w:line="260" w:lineRule="auto"/>
        <w:rPr>
          <w:i/>
          <w:iCs/>
        </w:rPr>
      </w:pPr>
      <w:r>
        <w:rPr>
          <w:i/>
          <w:iCs/>
        </w:rPr>
        <w:t>If allowed, NPUCCH can be less than 10 (for 1 interlace) or can be less than 20 (for 2 interlaces)</w:t>
      </w:r>
    </w:p>
    <w:p>
      <w:pPr>
        <w:numPr>
          <w:ilvl w:val="0"/>
          <w:numId w:val="11"/>
        </w:numPr>
        <w:spacing w:after="0" w:line="260" w:lineRule="auto"/>
        <w:rPr>
          <w:i/>
          <w:iCs/>
        </w:rPr>
      </w:pPr>
      <w:r>
        <w:rPr>
          <w:i/>
          <w:iCs/>
        </w:rPr>
        <w:t xml:space="preserve">Note: This agreement refers to configured interlaces, not actually used interlaces. </w:t>
      </w:r>
    </w:p>
    <w:p>
      <w:pPr>
        <w:numPr>
          <w:ilvl w:val="0"/>
          <w:numId w:val="11"/>
        </w:numPr>
        <w:spacing w:after="0" w:line="260" w:lineRule="auto"/>
        <w:rPr>
          <w:rFonts w:hint="eastAsia" w:eastAsia="宋体"/>
          <w:i/>
          <w:iCs/>
          <w:lang w:eastAsia="zh-CN"/>
        </w:rPr>
      </w:pPr>
      <w:r>
        <w:rPr>
          <w:i/>
          <w:iCs/>
        </w:rPr>
        <w:t>Note: User multiplexing is to be further discussed. This agreement does not imply that user multiplexing is supported or not supported.</w:t>
      </w:r>
    </w:p>
    <w:p>
      <w:pPr>
        <w:spacing w:before="137" w:beforeLines="50" w:after="60" w:line="260" w:lineRule="auto"/>
        <w:rPr>
          <w:sz w:val="21"/>
          <w:szCs w:val="22"/>
          <w:highlight w:val="green"/>
        </w:rPr>
      </w:pPr>
      <w:r>
        <w:rPr>
          <w:sz w:val="21"/>
          <w:szCs w:val="22"/>
          <w:highlight w:val="green"/>
        </w:rPr>
        <w:t>Agreement:</w:t>
      </w:r>
    </w:p>
    <w:p>
      <w:pPr>
        <w:numPr>
          <w:ilvl w:val="0"/>
          <w:numId w:val="12"/>
        </w:numPr>
        <w:spacing w:after="0" w:line="260" w:lineRule="auto"/>
        <w:rPr>
          <w:i/>
          <w:iCs/>
        </w:rPr>
      </w:pPr>
      <w:r>
        <w:rPr>
          <w:i/>
          <w:iCs/>
        </w:rPr>
        <w:t>For PUCCH formats 0 and 1 configured with an interlace mapping, the formula for cyclic shift hopping in Section 6.3.2.2.2 of 38.211 is given by</w:t>
      </w:r>
    </w:p>
    <w:p>
      <w:pPr>
        <w:spacing w:after="0" w:line="260" w:lineRule="auto"/>
        <w:ind w:left="720" w:firstLine="720"/>
        <w:rPr>
          <w:i/>
          <w:iCs/>
        </w:rPr>
      </w:pPr>
      <m:oMathPara>
        <m:oMath>
          <m:sSub>
            <m:sSubPr>
              <m:ctrlPr>
                <w:rPr>
                  <w:rFonts w:ascii="Cambria Math" w:hAnsi="Cambria Math" w:eastAsia="Times New Roman"/>
                  <w:i/>
                  <w:iCs/>
                  <w:szCs w:val="20"/>
                  <w:lang w:eastAsia="zh-CN"/>
                </w:rPr>
              </m:ctrlPr>
            </m:sSubPr>
            <m:e>
              <m:r>
                <w:rPr>
                  <w:rFonts w:ascii="Cambria Math" w:hAnsi="Cambria Math" w:eastAsia="Times New Roman"/>
                  <w:szCs w:val="20"/>
                  <w:lang w:eastAsia="zh-CN"/>
                </w:rPr>
                <m:t>α</m:t>
              </m:r>
              <m:ctrlPr>
                <w:rPr>
                  <w:rFonts w:ascii="Cambria Math" w:hAnsi="Cambria Math" w:eastAsia="Times New Roman"/>
                  <w:i/>
                  <w:iCs/>
                  <w:szCs w:val="20"/>
                  <w:lang w:eastAsia="zh-CN"/>
                </w:rPr>
              </m:ctrlPr>
            </m:e>
            <m:sub>
              <m:r>
                <w:rPr>
                  <w:rFonts w:ascii="Cambria Math" w:hAnsi="Cambria Math" w:eastAsia="Times New Roman"/>
                  <w:szCs w:val="20"/>
                  <w:lang w:eastAsia="zh-CN"/>
                </w:rPr>
                <m:t>l</m:t>
              </m:r>
              <m:ctrlPr>
                <w:rPr>
                  <w:rFonts w:ascii="Cambria Math" w:hAnsi="Cambria Math" w:eastAsia="Times New Roman"/>
                  <w:i/>
                  <w:iCs/>
                  <w:szCs w:val="20"/>
                  <w:lang w:eastAsia="zh-CN"/>
                </w:rPr>
              </m:ctrlPr>
            </m:sub>
          </m:sSub>
          <m:r>
            <w:rPr>
              <w:rFonts w:ascii="Cambria Math" w:hAnsi="Cambria Math" w:eastAsia="Times New Roman"/>
              <w:szCs w:val="20"/>
              <w:lang w:eastAsia="zh-CN"/>
            </w:rPr>
            <m:t>=</m:t>
          </m:r>
          <m:f>
            <m:fPr>
              <m:ctrlPr>
                <w:rPr>
                  <w:rFonts w:ascii="Cambria Math" w:hAnsi="Cambria Math" w:eastAsia="Times New Roman"/>
                  <w:i/>
                  <w:iCs/>
                  <w:szCs w:val="20"/>
                  <w:lang w:eastAsia="zh-CN"/>
                </w:rPr>
              </m:ctrlPr>
            </m:fPr>
            <m:num>
              <m:r>
                <w:rPr>
                  <w:rFonts w:ascii="Cambria Math" w:hAnsi="Cambria Math" w:eastAsia="Times New Roman"/>
                  <w:szCs w:val="20"/>
                  <w:lang w:eastAsia="zh-CN"/>
                </w:rPr>
                <m:t>2π</m:t>
              </m:r>
              <m:ctrlPr>
                <w:rPr>
                  <w:rFonts w:ascii="Cambria Math" w:hAnsi="Cambria Math" w:eastAsia="Times New Roman"/>
                  <w:i/>
                  <w:iCs/>
                  <w:szCs w:val="20"/>
                  <w:lang w:eastAsia="zh-CN"/>
                </w:rPr>
              </m:ctrlPr>
            </m:num>
            <m:den>
              <m:sSubSup>
                <m:sSubSupPr>
                  <m:ctrlPr>
                    <w:rPr>
                      <w:rFonts w:ascii="Cambria Math" w:hAnsi="Cambria Math" w:eastAsia="Times New Roman"/>
                      <w:i/>
                      <w:iCs/>
                      <w:szCs w:val="20"/>
                      <w:lang w:eastAsia="zh-CN"/>
                    </w:rPr>
                  </m:ctrlPr>
                </m:sSubSupPr>
                <m:e>
                  <m:r>
                    <w:rPr>
                      <w:rFonts w:ascii="Cambria Math" w:hAnsi="Cambria Math" w:eastAsia="Times New Roman"/>
                      <w:szCs w:val="20"/>
                      <w:lang w:eastAsia="zh-CN"/>
                    </w:rPr>
                    <m:t>N</m:t>
                  </m:r>
                  <m:ctrlPr>
                    <w:rPr>
                      <w:rFonts w:ascii="Cambria Math" w:hAnsi="Cambria Math" w:eastAsia="Times New Roman"/>
                      <w:i/>
                      <w:iCs/>
                      <w:szCs w:val="20"/>
                      <w:lang w:eastAsia="zh-CN"/>
                    </w:rPr>
                  </m:ctrlPr>
                </m:e>
                <m:sub>
                  <m:r>
                    <m:rPr>
                      <m:nor/>
                    </m:rPr>
                    <w:rPr>
                      <w:rFonts w:ascii="Cambria Math" w:hAnsi="Cambria Math" w:eastAsia="Times New Roman"/>
                      <w:b w:val="0"/>
                      <w:i/>
                      <w:iCs/>
                      <w:szCs w:val="20"/>
                      <w:lang w:eastAsia="zh-CN"/>
                    </w:rPr>
                    <m:t>sc</m:t>
                  </m:r>
                  <m:ctrlPr>
                    <w:rPr>
                      <w:rFonts w:ascii="Cambria Math" w:hAnsi="Cambria Math" w:eastAsia="Times New Roman"/>
                      <w:i/>
                      <w:iCs/>
                      <w:szCs w:val="20"/>
                      <w:lang w:eastAsia="zh-CN"/>
                    </w:rPr>
                  </m:ctrlPr>
                </m:sub>
                <m:sup>
                  <m:r>
                    <m:rPr>
                      <m:nor/>
                    </m:rPr>
                    <w:rPr>
                      <w:rFonts w:ascii="Cambria Math" w:hAnsi="Cambria Math" w:eastAsia="Times New Roman"/>
                      <w:b w:val="0"/>
                      <w:i/>
                      <w:iCs/>
                      <w:szCs w:val="20"/>
                      <w:lang w:eastAsia="zh-CN"/>
                    </w:rPr>
                    <m:t>RB</m:t>
                  </m:r>
                  <m:ctrlPr>
                    <w:rPr>
                      <w:rFonts w:ascii="Cambria Math" w:hAnsi="Cambria Math" w:eastAsia="Times New Roman"/>
                      <w:i/>
                      <w:iCs/>
                      <w:szCs w:val="20"/>
                      <w:lang w:eastAsia="zh-CN"/>
                    </w:rPr>
                  </m:ctrlPr>
                </m:sup>
              </m:sSubSup>
              <m:ctrlPr>
                <w:rPr>
                  <w:rFonts w:ascii="Cambria Math" w:hAnsi="Cambria Math" w:eastAsia="Times New Roman"/>
                  <w:i/>
                  <w:iCs/>
                  <w:szCs w:val="20"/>
                  <w:lang w:eastAsia="zh-CN"/>
                </w:rPr>
              </m:ctrlPr>
            </m:den>
          </m:f>
          <m:d>
            <m:dPr>
              <m:ctrlPr>
                <w:rPr>
                  <w:rFonts w:ascii="Cambria Math" w:hAnsi="Cambria Math" w:eastAsia="Times New Roman"/>
                  <w:i/>
                  <w:iCs/>
                  <w:szCs w:val="20"/>
                  <w:lang w:eastAsia="zh-CN"/>
                </w:rPr>
              </m:ctrlPr>
            </m:dPr>
            <m:e>
              <m:d>
                <m:dPr>
                  <m:ctrlPr>
                    <w:rPr>
                      <w:rFonts w:ascii="Cambria Math" w:hAnsi="Cambria Math" w:eastAsia="Times New Roman"/>
                      <w:i/>
                      <w:iCs/>
                      <w:szCs w:val="20"/>
                      <w:lang w:eastAsia="zh-CN"/>
                    </w:rPr>
                  </m:ctrlPr>
                </m:dPr>
                <m:e>
                  <m:sSub>
                    <m:sSubPr>
                      <m:ctrlPr>
                        <w:rPr>
                          <w:rFonts w:ascii="Cambria Math" w:hAnsi="Cambria Math" w:eastAsia="Times New Roman"/>
                          <w:i/>
                          <w:iCs/>
                          <w:szCs w:val="20"/>
                          <w:lang w:eastAsia="zh-CN"/>
                        </w:rPr>
                      </m:ctrlPr>
                    </m:sSubPr>
                    <m:e>
                      <m:r>
                        <w:rPr>
                          <w:rFonts w:ascii="Cambria Math" w:hAnsi="Cambria Math" w:eastAsia="Times New Roman"/>
                          <w:szCs w:val="20"/>
                          <w:lang w:eastAsia="zh-CN"/>
                        </w:rPr>
                        <m:t>m</m:t>
                      </m:r>
                      <m:ctrlPr>
                        <w:rPr>
                          <w:rFonts w:ascii="Cambria Math" w:hAnsi="Cambria Math" w:eastAsia="Times New Roman"/>
                          <w:i/>
                          <w:iCs/>
                          <w:szCs w:val="20"/>
                          <w:lang w:eastAsia="zh-CN"/>
                        </w:rPr>
                      </m:ctrlPr>
                    </m:e>
                    <m:sub>
                      <m:r>
                        <w:rPr>
                          <w:rFonts w:ascii="Cambria Math" w:hAnsi="Cambria Math" w:eastAsia="Times New Roman"/>
                          <w:szCs w:val="20"/>
                          <w:lang w:eastAsia="zh-CN"/>
                        </w:rPr>
                        <m:t>0</m:t>
                      </m:r>
                      <m:ctrlPr>
                        <w:rPr>
                          <w:rFonts w:ascii="Cambria Math" w:hAnsi="Cambria Math" w:eastAsia="Times New Roman"/>
                          <w:i/>
                          <w:iCs/>
                          <w:szCs w:val="20"/>
                          <w:lang w:eastAsia="zh-CN"/>
                        </w:rPr>
                      </m:ctrlPr>
                    </m:sub>
                  </m:sSub>
                  <m:r>
                    <w:rPr>
                      <w:rFonts w:ascii="Cambria Math" w:hAnsi="Cambria Math" w:eastAsia="Times New Roman"/>
                      <w:szCs w:val="20"/>
                      <w:lang w:eastAsia="zh-CN"/>
                    </w:rPr>
                    <m:t>+</m:t>
                  </m:r>
                  <m:r>
                    <w:rPr>
                      <w:rFonts w:ascii="Cambria Math" w:hAnsi="Cambria Math" w:eastAsia="Times New Roman"/>
                      <w:color w:val="FF0000"/>
                      <w:szCs w:val="20"/>
                      <w:lang w:eastAsia="zh-CN"/>
                    </w:rPr>
                    <m:t>Δ*i</m:t>
                  </m:r>
                  <m:r>
                    <w:rPr>
                      <w:rFonts w:ascii="Cambria Math" w:hAnsi="Cambria Math" w:eastAsia="Times New Roman"/>
                      <w:szCs w:val="20"/>
                      <w:lang w:eastAsia="zh-CN"/>
                    </w:rPr>
                    <m:t>+</m:t>
                  </m:r>
                  <m:sSub>
                    <m:sSubPr>
                      <m:ctrlPr>
                        <w:rPr>
                          <w:rFonts w:ascii="Cambria Math" w:hAnsi="Cambria Math" w:eastAsia="Times New Roman"/>
                          <w:i/>
                          <w:iCs/>
                          <w:szCs w:val="20"/>
                          <w:lang w:eastAsia="zh-CN"/>
                        </w:rPr>
                      </m:ctrlPr>
                    </m:sSubPr>
                    <m:e>
                      <m:sSub>
                        <m:sSubPr>
                          <m:ctrlPr>
                            <w:rPr>
                              <w:rFonts w:ascii="Cambria Math" w:hAnsi="Cambria Math" w:eastAsia="Times New Roman"/>
                              <w:i/>
                              <w:iCs/>
                              <w:szCs w:val="20"/>
                              <w:lang w:eastAsia="zh-CN"/>
                            </w:rPr>
                          </m:ctrlPr>
                        </m:sSubPr>
                        <m:e>
                          <m:r>
                            <w:rPr>
                              <w:rFonts w:ascii="Cambria Math" w:hAnsi="Cambria Math" w:eastAsia="Times New Roman"/>
                              <w:szCs w:val="20"/>
                              <w:lang w:eastAsia="zh-CN"/>
                            </w:rPr>
                            <m:t>m</m:t>
                          </m:r>
                          <m:ctrlPr>
                            <w:rPr>
                              <w:rFonts w:ascii="Cambria Math" w:hAnsi="Cambria Math" w:eastAsia="Times New Roman"/>
                              <w:i/>
                              <w:iCs/>
                              <w:szCs w:val="20"/>
                              <w:lang w:eastAsia="zh-CN"/>
                            </w:rPr>
                          </m:ctrlPr>
                        </m:e>
                        <m:sub>
                          <m:r>
                            <m:rPr>
                              <m:nor/>
                            </m:rPr>
                            <w:rPr>
                              <w:rFonts w:ascii="Cambria Math" w:hAnsi="Cambria Math" w:eastAsia="Times New Roman"/>
                              <w:b w:val="0"/>
                              <w:i/>
                              <w:iCs/>
                              <w:szCs w:val="20"/>
                              <w:lang w:eastAsia="zh-CN"/>
                            </w:rPr>
                            <m:t>cs</m:t>
                          </m:r>
                          <m:ctrlPr>
                            <w:rPr>
                              <w:rFonts w:ascii="Cambria Math" w:hAnsi="Cambria Math" w:eastAsia="Times New Roman"/>
                              <w:i/>
                              <w:iCs/>
                              <w:szCs w:val="20"/>
                              <w:lang w:eastAsia="zh-CN"/>
                            </w:rPr>
                          </m:ctrlPr>
                        </m:sub>
                      </m:sSub>
                      <m:r>
                        <w:rPr>
                          <w:rFonts w:ascii="Cambria Math" w:hAnsi="Cambria Math" w:eastAsia="Times New Roman"/>
                          <w:szCs w:val="20"/>
                          <w:lang w:eastAsia="zh-CN"/>
                        </w:rPr>
                        <m:t>+n</m:t>
                      </m:r>
                      <m:ctrlPr>
                        <w:rPr>
                          <w:rFonts w:ascii="Cambria Math" w:hAnsi="Cambria Math" w:eastAsia="Times New Roman"/>
                          <w:i/>
                          <w:iCs/>
                          <w:szCs w:val="20"/>
                          <w:lang w:eastAsia="zh-CN"/>
                        </w:rPr>
                      </m:ctrlPr>
                    </m:e>
                    <m:sub>
                      <m:r>
                        <m:rPr>
                          <m:nor/>
                        </m:rPr>
                        <w:rPr>
                          <w:rFonts w:ascii="Cambria Math" w:hAnsi="Cambria Math" w:eastAsia="Times New Roman"/>
                          <w:b w:val="0"/>
                          <w:i/>
                          <w:iCs/>
                          <w:szCs w:val="20"/>
                          <w:lang w:eastAsia="zh-CN"/>
                        </w:rPr>
                        <m:t>cs</m:t>
                      </m:r>
                      <m:ctrlPr>
                        <w:rPr>
                          <w:rFonts w:ascii="Cambria Math" w:hAnsi="Cambria Math" w:eastAsia="Times New Roman"/>
                          <w:i/>
                          <w:iCs/>
                          <w:szCs w:val="20"/>
                          <w:lang w:eastAsia="zh-CN"/>
                        </w:rPr>
                      </m:ctrlPr>
                    </m:sub>
                  </m:sSub>
                  <m:d>
                    <m:dPr>
                      <m:ctrlPr>
                        <w:rPr>
                          <w:rFonts w:ascii="Cambria Math" w:hAnsi="Cambria Math" w:eastAsia="Times New Roman"/>
                          <w:i/>
                          <w:iCs/>
                          <w:szCs w:val="20"/>
                          <w:lang w:eastAsia="zh-CN"/>
                        </w:rPr>
                      </m:ctrlPr>
                    </m:dPr>
                    <m:e>
                      <m:sSubSup>
                        <m:sSubSupPr>
                          <m:ctrlPr>
                            <w:rPr>
                              <w:rFonts w:ascii="Cambria Math" w:hAnsi="Cambria Math" w:eastAsia="Times New Roman"/>
                              <w:i/>
                              <w:iCs/>
                              <w:szCs w:val="20"/>
                              <w:lang w:eastAsia="zh-CN"/>
                            </w:rPr>
                          </m:ctrlPr>
                        </m:sSubSupPr>
                        <m:e>
                          <m:r>
                            <w:rPr>
                              <w:rFonts w:ascii="Cambria Math" w:hAnsi="Cambria Math" w:eastAsia="Times New Roman"/>
                              <w:szCs w:val="20"/>
                              <w:lang w:eastAsia="zh-CN"/>
                            </w:rPr>
                            <m:t>n</m:t>
                          </m:r>
                          <m:ctrlPr>
                            <w:rPr>
                              <w:rFonts w:ascii="Cambria Math" w:hAnsi="Cambria Math" w:eastAsia="Times New Roman"/>
                              <w:i/>
                              <w:iCs/>
                              <w:szCs w:val="20"/>
                              <w:lang w:eastAsia="zh-CN"/>
                            </w:rPr>
                          </m:ctrlPr>
                        </m:e>
                        <m:sub>
                          <m:r>
                            <m:rPr>
                              <m:nor/>
                            </m:rPr>
                            <w:rPr>
                              <w:rFonts w:ascii="Cambria Math" w:hAnsi="Cambria Math" w:eastAsia="Times New Roman"/>
                              <w:b w:val="0"/>
                              <w:i/>
                              <w:iCs/>
                              <w:szCs w:val="20"/>
                              <w:lang w:eastAsia="zh-CN"/>
                            </w:rPr>
                            <m:t>s,f</m:t>
                          </m:r>
                          <m:ctrlPr>
                            <w:rPr>
                              <w:rFonts w:ascii="Cambria Math" w:hAnsi="Cambria Math" w:eastAsia="Times New Roman"/>
                              <w:i/>
                              <w:iCs/>
                              <w:szCs w:val="20"/>
                              <w:lang w:eastAsia="zh-CN"/>
                            </w:rPr>
                          </m:ctrlPr>
                        </m:sub>
                        <m:sup>
                          <m:r>
                            <w:rPr>
                              <w:rFonts w:ascii="Cambria Math" w:hAnsi="Cambria Math" w:eastAsia="Times New Roman"/>
                              <w:szCs w:val="20"/>
                              <w:lang w:eastAsia="zh-CN"/>
                            </w:rPr>
                            <m:t>μ</m:t>
                          </m:r>
                          <m:ctrlPr>
                            <w:rPr>
                              <w:rFonts w:ascii="Cambria Math" w:hAnsi="Cambria Math" w:eastAsia="Times New Roman"/>
                              <w:i/>
                              <w:iCs/>
                              <w:szCs w:val="20"/>
                              <w:lang w:eastAsia="zh-CN"/>
                            </w:rPr>
                          </m:ctrlPr>
                        </m:sup>
                      </m:sSubSup>
                      <m:r>
                        <w:rPr>
                          <w:rFonts w:ascii="Cambria Math" w:hAnsi="Cambria Math" w:eastAsia="Times New Roman"/>
                          <w:szCs w:val="20"/>
                          <w:lang w:eastAsia="zh-CN"/>
                        </w:rPr>
                        <m:t>,l+l'</m:t>
                      </m:r>
                      <m:ctrlPr>
                        <w:rPr>
                          <w:rFonts w:ascii="Cambria Math" w:hAnsi="Cambria Math" w:eastAsia="Times New Roman"/>
                          <w:i/>
                          <w:iCs/>
                          <w:szCs w:val="20"/>
                          <w:lang w:eastAsia="zh-CN"/>
                        </w:rPr>
                      </m:ctrlPr>
                    </m:e>
                  </m:d>
                  <m:ctrlPr>
                    <w:rPr>
                      <w:rFonts w:ascii="Cambria Math" w:hAnsi="Cambria Math" w:eastAsia="Times New Roman"/>
                      <w:i/>
                      <w:iCs/>
                      <w:szCs w:val="20"/>
                      <w:lang w:eastAsia="zh-CN"/>
                    </w:rPr>
                  </m:ctrlPr>
                </m:e>
              </m:d>
              <m:r>
                <m:rPr>
                  <m:nor/>
                </m:rPr>
                <w:rPr>
                  <w:rFonts w:ascii="Cambria Math" w:hAnsi="Cambria Math" w:eastAsia="Times New Roman"/>
                  <w:b w:val="0"/>
                  <w:i/>
                  <w:iCs/>
                  <w:szCs w:val="20"/>
                  <w:lang w:eastAsia="zh-CN"/>
                </w:rPr>
                <m:t>mod</m:t>
              </m:r>
              <m:sSubSup>
                <m:sSubSupPr>
                  <m:ctrlPr>
                    <w:rPr>
                      <w:rFonts w:ascii="Cambria Math" w:hAnsi="Cambria Math" w:eastAsia="Times New Roman"/>
                      <w:i/>
                      <w:iCs/>
                      <w:szCs w:val="20"/>
                      <w:lang w:eastAsia="zh-CN"/>
                    </w:rPr>
                  </m:ctrlPr>
                </m:sSubSupPr>
                <m:e>
                  <m:r>
                    <w:rPr>
                      <w:rFonts w:ascii="Cambria Math" w:hAnsi="Cambria Math" w:eastAsia="Times New Roman"/>
                      <w:szCs w:val="20"/>
                      <w:lang w:eastAsia="zh-CN"/>
                    </w:rPr>
                    <m:t>N</m:t>
                  </m:r>
                  <m:ctrlPr>
                    <w:rPr>
                      <w:rFonts w:ascii="Cambria Math" w:hAnsi="Cambria Math" w:eastAsia="Times New Roman"/>
                      <w:i/>
                      <w:iCs/>
                      <w:szCs w:val="20"/>
                      <w:lang w:eastAsia="zh-CN"/>
                    </w:rPr>
                  </m:ctrlPr>
                </m:e>
                <m:sub>
                  <m:r>
                    <m:rPr>
                      <m:nor/>
                    </m:rPr>
                    <w:rPr>
                      <w:rFonts w:ascii="Cambria Math" w:hAnsi="Cambria Math" w:eastAsia="Times New Roman"/>
                      <w:b w:val="0"/>
                      <w:i/>
                      <w:iCs/>
                      <w:szCs w:val="20"/>
                      <w:lang w:eastAsia="zh-CN"/>
                    </w:rPr>
                    <m:t>sc</m:t>
                  </m:r>
                  <m:ctrlPr>
                    <w:rPr>
                      <w:rFonts w:ascii="Cambria Math" w:hAnsi="Cambria Math" w:eastAsia="Times New Roman"/>
                      <w:i/>
                      <w:iCs/>
                      <w:szCs w:val="20"/>
                      <w:lang w:eastAsia="zh-CN"/>
                    </w:rPr>
                  </m:ctrlPr>
                </m:sub>
                <m:sup>
                  <m:r>
                    <m:rPr>
                      <m:nor/>
                    </m:rPr>
                    <w:rPr>
                      <w:rFonts w:ascii="Cambria Math" w:hAnsi="Cambria Math" w:eastAsia="Times New Roman"/>
                      <w:b w:val="0"/>
                      <w:i/>
                      <w:iCs/>
                      <w:szCs w:val="20"/>
                      <w:lang w:eastAsia="zh-CN"/>
                    </w:rPr>
                    <m:t>RB</m:t>
                  </m:r>
                  <m:ctrlPr>
                    <w:rPr>
                      <w:rFonts w:ascii="Cambria Math" w:hAnsi="Cambria Math" w:eastAsia="Times New Roman"/>
                      <w:i/>
                      <w:iCs/>
                      <w:szCs w:val="20"/>
                      <w:lang w:eastAsia="zh-CN"/>
                    </w:rPr>
                  </m:ctrlPr>
                </m:sup>
              </m:sSubSup>
              <m:ctrlPr>
                <w:rPr>
                  <w:rFonts w:ascii="Cambria Math" w:hAnsi="Cambria Math" w:eastAsia="Times New Roman"/>
                  <w:i/>
                  <w:iCs/>
                  <w:szCs w:val="20"/>
                  <w:lang w:eastAsia="zh-CN"/>
                </w:rPr>
              </m:ctrlPr>
            </m:e>
          </m:d>
        </m:oMath>
      </m:oMathPara>
    </w:p>
    <w:p>
      <w:pPr>
        <w:spacing w:after="0" w:line="260" w:lineRule="auto"/>
        <w:rPr>
          <w:i/>
          <w:iCs/>
        </w:rPr>
      </w:pPr>
      <w:r>
        <w:rPr>
          <w:i/>
          <w:iCs/>
        </w:rPr>
        <w:t xml:space="preserve">where </w:t>
      </w:r>
      <m:oMath>
        <m:r>
          <w:rPr>
            <w:rFonts w:ascii="Cambria Math" w:hAnsi="Cambria Math" w:eastAsia="Times New Roman"/>
            <w:szCs w:val="20"/>
            <w:lang w:eastAsia="zh-CN"/>
          </w:rPr>
          <m:t>i∈</m:t>
        </m:r>
        <m:d>
          <m:dPr>
            <m:begChr m:val="{"/>
            <m:endChr m:val="}"/>
            <m:ctrlPr>
              <w:rPr>
                <w:rFonts w:ascii="Cambria Math" w:hAnsi="Cambria Math" w:eastAsia="Times New Roman"/>
                <w:i/>
                <w:iCs/>
                <w:szCs w:val="20"/>
                <w:lang w:eastAsia="zh-CN"/>
              </w:rPr>
            </m:ctrlPr>
          </m:dPr>
          <m:e>
            <m:r>
              <w:rPr>
                <w:rFonts w:ascii="Cambria Math" w:hAnsi="Cambria Math" w:eastAsia="Times New Roman"/>
                <w:szCs w:val="20"/>
                <w:lang w:eastAsia="zh-CN"/>
              </w:rPr>
              <m:t>0,1,…,N-1</m:t>
            </m:r>
            <m:ctrlPr>
              <w:rPr>
                <w:rFonts w:ascii="Cambria Math" w:hAnsi="Cambria Math" w:eastAsia="Times New Roman"/>
                <w:i/>
                <w:iCs/>
                <w:szCs w:val="20"/>
                <w:lang w:eastAsia="zh-CN"/>
              </w:rPr>
            </m:ctrlPr>
          </m:e>
        </m:d>
      </m:oMath>
      <w:r>
        <w:rPr>
          <w:i/>
          <w:iCs/>
        </w:rPr>
        <w:t xml:space="preserve"> indexes consecutive PRBs within an interlace starting with the lowest indexed PRB of the PUCCH resource within the BWP. N is the number of PRBs in an interlace (10 or 11).</w:t>
      </w:r>
    </w:p>
    <w:p>
      <w:pPr>
        <w:numPr>
          <w:ilvl w:val="0"/>
          <w:numId w:val="12"/>
        </w:numPr>
        <w:spacing w:after="0" w:line="260" w:lineRule="auto"/>
        <w:rPr>
          <w:i/>
          <w:iCs/>
        </w:rPr>
      </w:pPr>
      <w:r>
        <w:rPr>
          <w:i/>
          <w:iCs/>
        </w:rPr>
        <w:t xml:space="preserve">FFS: The step size </w:t>
      </w:r>
      <m:oMath>
        <m:r>
          <w:rPr>
            <w:rFonts w:ascii="Cambria Math" w:hAnsi="Cambria Math" w:eastAsia="Times New Roman"/>
            <w:szCs w:val="20"/>
            <w:lang w:eastAsia="zh-CN"/>
          </w:rPr>
          <m:t>Δ</m:t>
        </m:r>
      </m:oMath>
      <w:r>
        <w:rPr>
          <w:i/>
          <w:iCs/>
        </w:rPr>
        <w:t xml:space="preserve"> is down-selected to one value amongst {1,5,7,11}</w:t>
      </w:r>
    </w:p>
    <w:p>
      <w:pPr>
        <w:numPr>
          <w:ilvl w:val="1"/>
          <w:numId w:val="12"/>
        </w:numPr>
        <w:spacing w:after="0" w:line="260" w:lineRule="auto"/>
        <w:rPr>
          <w:i/>
          <w:iCs/>
        </w:rPr>
      </w:pPr>
      <w:r>
        <w:rPr>
          <w:i/>
          <w:iCs/>
        </w:rPr>
        <w:t>The decision on which value to select is based on minimizing the 95</w:t>
      </w:r>
      <w:r>
        <w:rPr>
          <w:i/>
          <w:iCs/>
          <w:vertAlign w:val="superscript"/>
        </w:rPr>
        <w:t>th</w:t>
      </w:r>
      <w:r>
        <w:rPr>
          <w:i/>
          <w:iCs/>
        </w:rPr>
        <w:t xml:space="preserve"> percentile CM</w:t>
      </w:r>
    </w:p>
    <w:p>
      <w:pPr>
        <w:numPr>
          <w:ilvl w:val="0"/>
          <w:numId w:val="12"/>
        </w:numPr>
        <w:spacing w:after="0" w:line="260" w:lineRule="auto"/>
        <w:rPr>
          <w:i/>
          <w:iCs/>
        </w:rPr>
      </w:pPr>
      <w:r>
        <w:rPr>
          <w:i/>
          <w:iCs/>
        </w:rPr>
        <w:t xml:space="preserve">FFS: For PF0, whether or not the above formula </w:t>
      </w:r>
      <m:oMath>
        <m:r>
          <w:rPr>
            <w:rFonts w:ascii="Cambria Math" w:hAnsi="Cambria Math" w:eastAsia="Times New Roman"/>
            <w:szCs w:val="20"/>
            <w:lang w:eastAsia="zh-CN"/>
          </w:rPr>
          <m:t>Δ</m:t>
        </m:r>
      </m:oMath>
      <w:r>
        <w:rPr>
          <w:i/>
          <w:iCs/>
        </w:rPr>
        <w:t xml:space="preserve"> includes an additional term </w:t>
      </w:r>
      <m:oMath>
        <m:r>
          <w:rPr>
            <w:rFonts w:ascii="Cambria Math" w:hAnsi="Cambria Math" w:eastAsia="Times New Roman"/>
            <w:szCs w:val="20"/>
            <w:lang w:eastAsia="zh-CN"/>
          </w:rPr>
          <m:t>6*SR</m:t>
        </m:r>
      </m:oMath>
      <w:r>
        <w:rPr>
          <w:i/>
          <w:iCs/>
        </w:rPr>
        <w:t xml:space="preserve"> in order to increase user multiplexing from 1 to 3 in case of 2-bit ACK/NACK + SR (SR = 1 for positive SR and 0 for negative SR)</w:t>
      </w:r>
    </w:p>
    <w:p>
      <w:pPr>
        <w:numPr>
          <w:ilvl w:val="0"/>
          <w:numId w:val="12"/>
        </w:numPr>
        <w:spacing w:after="0" w:line="260" w:lineRule="auto"/>
        <w:rPr>
          <w:i/>
          <w:iCs/>
        </w:rPr>
      </w:pPr>
      <w:r>
        <w:rPr>
          <w:i/>
          <w:iCs/>
        </w:rPr>
        <w:t xml:space="preserve">FFS: In order to increase user multiplexing capacity for PF0, PF1, introduction of </w:t>
      </w:r>
      <m:oMath>
        <m:r>
          <w:rPr>
            <w:rFonts w:ascii="Cambria Math" w:hAnsi="Cambria Math" w:eastAsia="Times New Roman"/>
            <w:szCs w:val="20"/>
            <w:lang w:eastAsia="zh-CN"/>
          </w:rPr>
          <m:t>Δ</m:t>
        </m:r>
      </m:oMath>
      <w:r>
        <w:rPr>
          <w:i/>
          <w:iCs/>
        </w:rPr>
        <w:t xml:space="preserve">*(i+i0) into the formula instead of </w:t>
      </w:r>
      <m:oMath>
        <m:r>
          <w:rPr>
            <w:rFonts w:ascii="Cambria Math" w:hAnsi="Cambria Math" w:eastAsia="Times New Roman"/>
            <w:szCs w:val="20"/>
            <w:lang w:eastAsia="zh-CN"/>
          </w:rPr>
          <m:t>Δ</m:t>
        </m:r>
      </m:oMath>
      <w:r>
        <w:rPr>
          <w:i/>
          <w:iCs/>
        </w:rPr>
        <w:t>*i  where i+i0 is modulo N, and i0 is configurable in the range {0, 1, …, N-1}.</w:t>
      </w:r>
    </w:p>
    <w:p>
      <w:pPr>
        <w:numPr>
          <w:ilvl w:val="1"/>
          <w:numId w:val="12"/>
        </w:numPr>
        <w:spacing w:after="0" w:line="260" w:lineRule="auto"/>
        <w:rPr>
          <w:i/>
          <w:iCs/>
        </w:rPr>
      </w:pPr>
      <w:r>
        <w:rPr>
          <w:i/>
          <w:iCs/>
        </w:rPr>
        <w:t>This mechanism may create collisions when the user multiplexing capacity is increased (i0 is not 0)</w:t>
      </w:r>
    </w:p>
    <w:p>
      <w:pPr>
        <w:spacing w:before="137" w:beforeLines="50" w:after="60" w:line="260" w:lineRule="auto"/>
        <w:rPr>
          <w:sz w:val="21"/>
          <w:szCs w:val="22"/>
          <w:highlight w:val="green"/>
        </w:rPr>
      </w:pPr>
      <w:r>
        <w:rPr>
          <w:sz w:val="21"/>
          <w:szCs w:val="22"/>
          <w:highlight w:val="green"/>
        </w:rPr>
        <w:t>Agreement:</w:t>
      </w:r>
    </w:p>
    <w:p>
      <w:pPr>
        <w:numPr>
          <w:ilvl w:val="0"/>
          <w:numId w:val="13"/>
        </w:numPr>
        <w:spacing w:after="0" w:line="260" w:lineRule="auto"/>
        <w:rPr>
          <w:i/>
          <w:iCs/>
          <w:lang w:val="en-US"/>
        </w:rPr>
      </w:pPr>
      <w:r>
        <w:rPr>
          <w:i/>
          <w:iCs/>
          <w:lang w:val="en-US"/>
        </w:rPr>
        <w:t>Support configurability between interlace and contiguous (Rel-15) mappings for cell-specific PF0/1 resources, i.e., PUCCH resources configured prior to dedicated configuration</w:t>
      </w:r>
    </w:p>
    <w:p>
      <w:pPr>
        <w:numPr>
          <w:ilvl w:val="1"/>
          <w:numId w:val="13"/>
        </w:numPr>
        <w:spacing w:after="0" w:line="260" w:lineRule="auto"/>
        <w:rPr>
          <w:i/>
          <w:iCs/>
          <w:lang w:val="en-US"/>
        </w:rPr>
      </w:pPr>
      <w:r>
        <w:rPr>
          <w:i/>
          <w:iCs/>
          <w:lang w:val="en-US"/>
        </w:rPr>
        <w:t>If interlace mapping is configured, the UE assumes there is no frequency hopping</w:t>
      </w:r>
    </w:p>
    <w:p>
      <w:pPr>
        <w:numPr>
          <w:ilvl w:val="0"/>
          <w:numId w:val="13"/>
        </w:numPr>
        <w:spacing w:after="0" w:line="260" w:lineRule="auto"/>
        <w:rPr>
          <w:i/>
          <w:iCs/>
          <w:lang w:val="en-US"/>
        </w:rPr>
      </w:pPr>
      <w:r>
        <w:rPr>
          <w:i/>
          <w:iCs/>
          <w:lang w:val="en-US"/>
        </w:rPr>
        <w:t>RAN2 to decide how broadcast signaling (SIB1) is modified to support this configurability</w:t>
      </w:r>
    </w:p>
    <w:p>
      <w:pPr>
        <w:numPr>
          <w:ilvl w:val="0"/>
          <w:numId w:val="13"/>
        </w:numPr>
        <w:spacing w:after="0" w:line="260" w:lineRule="auto"/>
        <w:rPr>
          <w:i/>
          <w:iCs/>
          <w:lang w:val="en-US"/>
        </w:rPr>
      </w:pPr>
      <w:r>
        <w:rPr>
          <w:i/>
          <w:iCs/>
          <w:lang w:val="en-US"/>
        </w:rPr>
        <w:t>Enhancements of Rel-15 PF0/1 when interlacing is not used will not be considered as part of the NR-U work in Rel-16</w:t>
      </w:r>
    </w:p>
    <w:p>
      <w:pPr>
        <w:spacing w:before="137" w:beforeLines="50" w:after="60" w:line="260" w:lineRule="auto"/>
        <w:rPr>
          <w:sz w:val="21"/>
          <w:szCs w:val="22"/>
          <w:highlight w:val="green"/>
          <w:lang w:val="en-US"/>
        </w:rPr>
      </w:pPr>
      <w:r>
        <w:rPr>
          <w:sz w:val="21"/>
          <w:szCs w:val="22"/>
          <w:highlight w:val="green"/>
          <w:lang w:val="en-US"/>
        </w:rPr>
        <w:t>Agreement:</w:t>
      </w:r>
    </w:p>
    <w:p>
      <w:pPr>
        <w:numPr>
          <w:ilvl w:val="0"/>
          <w:numId w:val="13"/>
        </w:numPr>
        <w:spacing w:after="0" w:line="260" w:lineRule="auto"/>
        <w:rPr>
          <w:i/>
          <w:iCs/>
          <w:lang w:val="en-US"/>
        </w:rPr>
      </w:pPr>
      <w:r>
        <w:rPr>
          <w:i/>
          <w:iCs/>
          <w:lang w:val="en-US"/>
        </w:rPr>
        <w:t>Support configurability between interlace and contiguous (Rel-15) mappings for cell-specific PUSCH (e.g., msg3), i.e., PUSCH transmitted prior to dedicated configuration</w:t>
      </w:r>
    </w:p>
    <w:p>
      <w:pPr>
        <w:numPr>
          <w:ilvl w:val="1"/>
          <w:numId w:val="13"/>
        </w:numPr>
        <w:spacing w:after="0" w:line="260" w:lineRule="auto"/>
        <w:rPr>
          <w:i/>
          <w:iCs/>
          <w:lang w:val="en-US"/>
        </w:rPr>
      </w:pPr>
      <w:r>
        <w:rPr>
          <w:i/>
          <w:iCs/>
          <w:lang w:val="en-US"/>
        </w:rPr>
        <w:t>If interlace mapping is configured, the UE assumes there is no frequency hopping</w:t>
      </w:r>
    </w:p>
    <w:p>
      <w:pPr>
        <w:numPr>
          <w:ilvl w:val="0"/>
          <w:numId w:val="13"/>
        </w:numPr>
        <w:spacing w:after="0" w:line="260" w:lineRule="auto"/>
        <w:rPr>
          <w:i/>
          <w:iCs/>
          <w:lang w:val="en-US"/>
        </w:rPr>
      </w:pPr>
      <w:r>
        <w:rPr>
          <w:i/>
          <w:iCs/>
          <w:lang w:val="en-US"/>
        </w:rPr>
        <w:t>RAN2 to decide how broadcast signaling (SIB1) is modified to support this</w:t>
      </w:r>
    </w:p>
    <w:p>
      <w:pPr>
        <w:numPr>
          <w:ilvl w:val="0"/>
          <w:numId w:val="13"/>
        </w:numPr>
        <w:spacing w:after="0" w:line="260" w:lineRule="auto"/>
        <w:rPr>
          <w:i/>
          <w:iCs/>
          <w:lang w:val="en-US"/>
        </w:rPr>
      </w:pPr>
      <w:r>
        <w:rPr>
          <w:i/>
          <w:iCs/>
          <w:lang w:val="en-US"/>
        </w:rPr>
        <w:t>Cell specific PUSCH and PUCCH can only be configured to both have interlaced mapping or to both have non-interlaced mapping</w:t>
      </w:r>
    </w:p>
    <w:p>
      <w:pPr>
        <w:numPr>
          <w:ilvl w:val="0"/>
          <w:numId w:val="13"/>
        </w:numPr>
        <w:spacing w:after="0" w:line="260" w:lineRule="auto"/>
        <w:rPr>
          <w:i/>
          <w:iCs/>
          <w:lang w:val="en-US"/>
        </w:rPr>
      </w:pPr>
      <w:r>
        <w:rPr>
          <w:i/>
          <w:iCs/>
          <w:lang w:val="en-US"/>
        </w:rPr>
        <w:t>FFS: The UE does not expect the configuration of interlaced or contiguous mapping of PUSCH/PUCCH to be different before and after dedicated RRC configuration</w:t>
      </w:r>
    </w:p>
    <w:p>
      <w:pPr>
        <w:spacing w:before="137" w:beforeLines="50" w:after="60" w:line="260" w:lineRule="auto"/>
        <w:rPr>
          <w:sz w:val="21"/>
          <w:szCs w:val="22"/>
          <w:highlight w:val="green"/>
          <w:lang w:val="en-US"/>
        </w:rPr>
      </w:pPr>
      <w:r>
        <w:rPr>
          <w:sz w:val="21"/>
          <w:szCs w:val="22"/>
          <w:highlight w:val="green"/>
          <w:lang w:val="en-US"/>
        </w:rPr>
        <w:t>Agreement:</w:t>
      </w:r>
    </w:p>
    <w:p>
      <w:pPr>
        <w:spacing w:after="0" w:line="260" w:lineRule="auto"/>
        <w:rPr>
          <w:i/>
          <w:iCs/>
        </w:rPr>
      </w:pPr>
      <w:r>
        <w:rPr>
          <w:i/>
          <w:iCs/>
        </w:rPr>
        <w:t>Support an RRC parameter to configure a UE with either interlace or contiguous (Rel-15) mappings for dedicated PUCCH resources, i.e., PUCCH resources configured by dedicated signalling</w:t>
      </w:r>
    </w:p>
    <w:p>
      <w:pPr>
        <w:numPr>
          <w:ilvl w:val="0"/>
          <w:numId w:val="14"/>
        </w:numPr>
        <w:spacing w:after="0" w:line="260" w:lineRule="auto"/>
        <w:rPr>
          <w:i/>
          <w:iCs/>
        </w:rPr>
      </w:pPr>
      <w:r>
        <w:rPr>
          <w:i/>
          <w:iCs/>
        </w:rPr>
        <w:t>If interlace mapping is configured, frequency hopping is not configured</w:t>
      </w:r>
    </w:p>
    <w:p>
      <w:pPr>
        <w:numPr>
          <w:ilvl w:val="0"/>
          <w:numId w:val="14"/>
        </w:numPr>
        <w:spacing w:after="0" w:line="260" w:lineRule="auto"/>
        <w:rPr>
          <w:i/>
          <w:iCs/>
        </w:rPr>
      </w:pPr>
      <w:r>
        <w:rPr>
          <w:i/>
          <w:iCs/>
        </w:rPr>
        <w:t>FFS: The UE does not expect configuration of interlace or contiguous mapping for different PUCCH resources to be different</w:t>
      </w:r>
    </w:p>
    <w:p>
      <w:pPr>
        <w:spacing w:before="137" w:beforeLines="50" w:after="60" w:line="260" w:lineRule="auto"/>
        <w:rPr>
          <w:sz w:val="21"/>
          <w:szCs w:val="22"/>
          <w:highlight w:val="green"/>
          <w:lang w:val="en-US"/>
        </w:rPr>
      </w:pPr>
      <w:r>
        <w:rPr>
          <w:sz w:val="21"/>
          <w:szCs w:val="22"/>
          <w:highlight w:val="green"/>
          <w:lang w:val="en-US"/>
        </w:rPr>
        <w:t>Agreement:</w:t>
      </w:r>
    </w:p>
    <w:p>
      <w:pPr>
        <w:spacing w:after="0" w:line="260" w:lineRule="auto"/>
        <w:rPr>
          <w:i/>
          <w:iCs/>
          <w:lang w:val="en-US"/>
        </w:rPr>
      </w:pPr>
      <w:r>
        <w:rPr>
          <w:i/>
          <w:iCs/>
          <w:lang w:val="en-US"/>
        </w:rPr>
        <w:t>For PUSCH transmissions after dedicated configuration, support an RRC parameter to enable configurability between interlace resource allocation and Rel-15 (Type 0/1) resource allocation</w:t>
      </w:r>
    </w:p>
    <w:p>
      <w:pPr>
        <w:numPr>
          <w:ilvl w:val="0"/>
          <w:numId w:val="15"/>
        </w:numPr>
        <w:spacing w:after="0" w:line="260" w:lineRule="auto"/>
        <w:rPr>
          <w:i/>
          <w:iCs/>
          <w:lang w:val="en-US"/>
        </w:rPr>
      </w:pPr>
      <w:r>
        <w:rPr>
          <w:i/>
          <w:iCs/>
          <w:lang w:val="en-US"/>
        </w:rPr>
        <w:t>If interlace mapping is configured, frequency hopping is not configured</w:t>
      </w:r>
    </w:p>
    <w:p>
      <w:pPr>
        <w:numPr>
          <w:ilvl w:val="0"/>
          <w:numId w:val="15"/>
        </w:numPr>
        <w:spacing w:after="0" w:line="260" w:lineRule="auto"/>
        <w:rPr>
          <w:i/>
          <w:iCs/>
          <w:lang w:val="en-US"/>
        </w:rPr>
      </w:pPr>
      <w:r>
        <w:rPr>
          <w:i/>
          <w:iCs/>
          <w:lang w:val="en-US"/>
        </w:rPr>
        <w:t>FFS: Whether this RRC configuration applies to fallback DCI</w:t>
      </w:r>
    </w:p>
    <w:p>
      <w:pPr>
        <w:numPr>
          <w:ilvl w:val="0"/>
          <w:numId w:val="15"/>
        </w:numPr>
        <w:spacing w:after="0" w:line="260" w:lineRule="auto"/>
        <w:rPr>
          <w:i/>
          <w:iCs/>
          <w:lang w:val="en-US"/>
        </w:rPr>
      </w:pPr>
      <w:r>
        <w:rPr>
          <w:i/>
          <w:iCs/>
          <w:lang w:val="en-US"/>
        </w:rPr>
        <w:t xml:space="preserve">FFS: Whether/how dynamic (non-fallback DCI based) switching is supported between interlaced resource allocation and Rel-15 RA (Type0/1) resource allocation </w:t>
      </w:r>
    </w:p>
    <w:p>
      <w:pPr>
        <w:numPr>
          <w:ilvl w:val="0"/>
          <w:numId w:val="15"/>
        </w:numPr>
        <w:spacing w:after="0" w:line="260" w:lineRule="auto"/>
        <w:rPr>
          <w:rFonts w:hint="eastAsia" w:eastAsia="宋体"/>
          <w:i/>
          <w:iCs/>
          <w:lang w:eastAsia="zh-CN"/>
        </w:rPr>
      </w:pPr>
      <w:r>
        <w:rPr>
          <w:i/>
          <w:iCs/>
        </w:rPr>
        <w:t>FFS: The UE does not expect configuration of interlace or contiguous mapping for different PUSCH transmissions to be different</w:t>
      </w:r>
    </w:p>
    <w:p>
      <w:pPr>
        <w:spacing w:before="137" w:beforeLines="50" w:after="60" w:line="260" w:lineRule="auto"/>
        <w:rPr>
          <w:sz w:val="21"/>
          <w:szCs w:val="22"/>
          <w:highlight w:val="green"/>
          <w:lang w:val="en-US"/>
        </w:rPr>
      </w:pPr>
      <w:r>
        <w:rPr>
          <w:sz w:val="21"/>
          <w:szCs w:val="22"/>
          <w:highlight w:val="green"/>
          <w:lang w:val="en-US"/>
        </w:rPr>
        <w:t>Agreement:</w:t>
      </w:r>
    </w:p>
    <w:p>
      <w:pPr>
        <w:numPr>
          <w:ilvl w:val="0"/>
          <w:numId w:val="16"/>
        </w:numPr>
        <w:spacing w:after="0" w:line="260" w:lineRule="auto"/>
        <w:rPr>
          <w:i/>
          <w:iCs/>
        </w:rPr>
      </w:pPr>
      <w:r>
        <w:rPr>
          <w:i/>
          <w:iCs/>
        </w:rPr>
        <w:t>Support a user-multiplexing mechanism for both UCI and reference symbols for interlaced PF3 when one interlace is configured as follows:</w:t>
      </w:r>
    </w:p>
    <w:p>
      <w:pPr>
        <w:numPr>
          <w:ilvl w:val="1"/>
          <w:numId w:val="16"/>
        </w:numPr>
        <w:spacing w:after="0" w:line="260" w:lineRule="auto"/>
        <w:rPr>
          <w:i/>
          <w:iCs/>
        </w:rPr>
      </w:pPr>
      <w:r>
        <w:rPr>
          <w:i/>
          <w:iCs/>
        </w:rPr>
        <w:t>User multiplexing for the UCI is based on the application of pre-DFT OCC with</w:t>
      </w:r>
    </w:p>
    <w:p>
      <w:pPr>
        <w:numPr>
          <w:ilvl w:val="2"/>
          <w:numId w:val="16"/>
        </w:numPr>
        <w:spacing w:after="0" w:line="260" w:lineRule="auto"/>
        <w:rPr>
          <w:i/>
          <w:iCs/>
        </w:rPr>
      </w:pPr>
      <w:r>
        <w:rPr>
          <w:i/>
          <w:iCs/>
        </w:rPr>
        <w:t>Alt. 1: Block-wise repetition in time domain followed by mapping over whole interlace in frequency (analogous to (Rel-15) PF4)</w:t>
      </w:r>
    </w:p>
    <w:p>
      <w:pPr>
        <w:numPr>
          <w:ilvl w:val="2"/>
          <w:numId w:val="16"/>
        </w:numPr>
        <w:spacing w:after="0" w:line="260" w:lineRule="auto"/>
        <w:rPr>
          <w:i/>
          <w:iCs/>
        </w:rPr>
      </w:pPr>
      <w:r>
        <w:rPr>
          <w:i/>
          <w:iCs/>
        </w:rPr>
        <w:t>Alt. 2: Symbol-wise repetition in time domain followed by mapping over whole interlace in frequency</w:t>
      </w:r>
    </w:p>
    <w:p>
      <w:pPr>
        <w:numPr>
          <w:ilvl w:val="1"/>
          <w:numId w:val="16"/>
        </w:numPr>
        <w:spacing w:after="0" w:line="260" w:lineRule="auto"/>
        <w:rPr>
          <w:i/>
          <w:iCs/>
        </w:rPr>
      </w:pPr>
      <w:r>
        <w:rPr>
          <w:i/>
          <w:iCs/>
        </w:rPr>
        <w:t>User multiplexing for the reference symbols is based on the use of different cyclic shifts of the same base sequence for all multiplexed users. The base sequence is a Z-C sequence (as for legacy Rel-15 PF3) mapped to the PRBs of the interlace</w:t>
      </w:r>
    </w:p>
    <w:p>
      <w:pPr>
        <w:numPr>
          <w:ilvl w:val="2"/>
          <w:numId w:val="16"/>
        </w:numPr>
        <w:spacing w:after="0" w:line="260" w:lineRule="auto"/>
        <w:rPr>
          <w:i/>
          <w:iCs/>
        </w:rPr>
      </w:pPr>
      <w:r>
        <w:rPr>
          <w:i/>
          <w:iCs/>
        </w:rPr>
        <w:t>Length of ZC sequence = number of tones in the interlace</w:t>
      </w:r>
    </w:p>
    <w:p>
      <w:pPr>
        <w:numPr>
          <w:ilvl w:val="2"/>
          <w:numId w:val="16"/>
        </w:numPr>
        <w:spacing w:after="0" w:line="260" w:lineRule="auto"/>
        <w:rPr>
          <w:i/>
          <w:iCs/>
        </w:rPr>
      </w:pPr>
      <w:r>
        <w:rPr>
          <w:i/>
          <w:iCs/>
        </w:rPr>
        <w:t>FFS: Mapping between OCC index applied on UCI symbols and cyclic shift applied to DMRS symbols</w:t>
      </w:r>
    </w:p>
    <w:p>
      <w:pPr>
        <w:numPr>
          <w:ilvl w:val="1"/>
          <w:numId w:val="16"/>
        </w:numPr>
        <w:spacing w:after="0" w:line="260" w:lineRule="auto"/>
        <w:rPr>
          <w:i/>
          <w:iCs/>
        </w:rPr>
      </w:pPr>
      <w:r>
        <w:rPr>
          <w:i/>
          <w:iCs/>
        </w:rPr>
        <w:t>Support 1, 2, and 4 users for all PF3 durations (4 – 14 OFDM symbols)</w:t>
      </w:r>
    </w:p>
    <w:p>
      <w:pPr>
        <w:numPr>
          <w:ilvl w:val="0"/>
          <w:numId w:val="16"/>
        </w:numPr>
        <w:spacing w:after="0" w:line="260" w:lineRule="auto"/>
        <w:rPr>
          <w:i/>
          <w:iCs/>
        </w:rPr>
      </w:pPr>
      <w:r>
        <w:rPr>
          <w:i/>
          <w:iCs/>
        </w:rPr>
        <w:t>Support an RRC parameter for indicating OCC configuration for interlaced PF3</w:t>
      </w:r>
    </w:p>
    <w:p>
      <w:pPr>
        <w:numPr>
          <w:ilvl w:val="0"/>
          <w:numId w:val="16"/>
        </w:numPr>
        <w:spacing w:after="0" w:line="260" w:lineRule="auto"/>
        <w:rPr>
          <w:i/>
          <w:iCs/>
        </w:rPr>
      </w:pPr>
      <w:r>
        <w:rPr>
          <w:i/>
          <w:iCs/>
        </w:rPr>
        <w:t>If two interlaces are configured, user multiplexing is not supported for interlaced PF3</w:t>
      </w:r>
    </w:p>
    <w:p>
      <w:pPr>
        <w:spacing w:before="137" w:beforeLines="50" w:after="60" w:line="260" w:lineRule="auto"/>
        <w:rPr>
          <w:sz w:val="21"/>
          <w:szCs w:val="22"/>
          <w:highlight w:val="green"/>
          <w:lang w:val="en-US"/>
        </w:rPr>
      </w:pPr>
      <w:r>
        <w:rPr>
          <w:sz w:val="21"/>
          <w:szCs w:val="22"/>
          <w:highlight w:val="green"/>
          <w:lang w:val="en-US"/>
        </w:rPr>
        <w:t>Agreement:</w:t>
      </w:r>
    </w:p>
    <w:p>
      <w:pPr>
        <w:numPr>
          <w:ilvl w:val="0"/>
          <w:numId w:val="16"/>
        </w:numPr>
        <w:spacing w:after="0" w:line="260" w:lineRule="auto"/>
        <w:rPr>
          <w:i/>
          <w:iCs/>
        </w:rPr>
      </w:pPr>
      <w:r>
        <w:rPr>
          <w:i/>
          <w:iCs/>
        </w:rPr>
        <w:t>Support a user-multiplexing mechanism for both UCI and reference symbols for interlaced PF2 when one interlace is configured as follows:</w:t>
      </w:r>
    </w:p>
    <w:p>
      <w:pPr>
        <w:numPr>
          <w:ilvl w:val="1"/>
          <w:numId w:val="16"/>
        </w:numPr>
        <w:spacing w:after="0" w:line="260" w:lineRule="auto"/>
        <w:rPr>
          <w:i/>
          <w:iCs/>
        </w:rPr>
      </w:pPr>
      <w:r>
        <w:rPr>
          <w:i/>
          <w:iCs/>
        </w:rPr>
        <w:t>User multiplexing is based on OCCs applied in at least the frequency domain to the UCI and reference signal REs separately</w:t>
      </w:r>
    </w:p>
    <w:p>
      <w:pPr>
        <w:numPr>
          <w:ilvl w:val="2"/>
          <w:numId w:val="16"/>
        </w:numPr>
        <w:spacing w:after="0" w:line="260" w:lineRule="auto"/>
        <w:rPr>
          <w:i/>
          <w:iCs/>
        </w:rPr>
      </w:pPr>
      <w:r>
        <w:rPr>
          <w:i/>
          <w:iCs/>
        </w:rPr>
        <w:t>User multiplexing for the UCI is based on RE-wise repetition within a PRB</w:t>
      </w:r>
    </w:p>
    <w:p>
      <w:pPr>
        <w:numPr>
          <w:ilvl w:val="1"/>
          <w:numId w:val="16"/>
        </w:numPr>
        <w:spacing w:after="0" w:line="260" w:lineRule="auto"/>
        <w:rPr>
          <w:i/>
          <w:iCs/>
        </w:rPr>
      </w:pPr>
      <w:r>
        <w:rPr>
          <w:i/>
          <w:iCs/>
        </w:rPr>
        <w:t>Support only frequency domain OCC lengths of 1, 2 and 4 to multiplex users on both 1-symbol and 2-symbol PF2</w:t>
      </w:r>
    </w:p>
    <w:p>
      <w:pPr>
        <w:numPr>
          <w:ilvl w:val="1"/>
          <w:numId w:val="16"/>
        </w:numPr>
        <w:spacing w:after="0" w:line="260" w:lineRule="auto"/>
        <w:rPr>
          <w:i/>
          <w:iCs/>
        </w:rPr>
      </w:pPr>
      <w:r>
        <w:rPr>
          <w:i/>
          <w:iCs/>
        </w:rPr>
        <w:t>Consider the following for controlling CM/PAPR. If supported, select from the following alternatives using CM and MCL as criteria</w:t>
      </w:r>
    </w:p>
    <w:p>
      <w:pPr>
        <w:numPr>
          <w:ilvl w:val="2"/>
          <w:numId w:val="16"/>
        </w:numPr>
        <w:spacing w:after="0" w:line="260" w:lineRule="auto"/>
        <w:rPr>
          <w:i/>
          <w:iCs/>
        </w:rPr>
      </w:pPr>
      <w:r>
        <w:rPr>
          <w:i/>
          <w:iCs/>
        </w:rPr>
        <w:t>OCC cycling across PRBs of an interlace</w:t>
      </w:r>
    </w:p>
    <w:p>
      <w:pPr>
        <w:numPr>
          <w:ilvl w:val="2"/>
          <w:numId w:val="16"/>
        </w:numPr>
        <w:spacing w:after="0" w:line="260" w:lineRule="auto"/>
        <w:rPr>
          <w:i/>
          <w:iCs/>
        </w:rPr>
      </w:pPr>
      <w:r>
        <w:rPr>
          <w:i/>
          <w:iCs/>
        </w:rPr>
        <w:t>Scrambling</w:t>
      </w:r>
    </w:p>
    <w:p>
      <w:pPr>
        <w:numPr>
          <w:ilvl w:val="2"/>
          <w:numId w:val="16"/>
        </w:numPr>
        <w:spacing w:after="0" w:line="260" w:lineRule="auto"/>
        <w:rPr>
          <w:i/>
          <w:iCs/>
        </w:rPr>
      </w:pPr>
      <w:r>
        <w:rPr>
          <w:i/>
          <w:iCs/>
        </w:rPr>
        <w:t>No CM/PAPR controlling mechanism</w:t>
      </w:r>
    </w:p>
    <w:p>
      <w:pPr>
        <w:numPr>
          <w:ilvl w:val="0"/>
          <w:numId w:val="16"/>
        </w:numPr>
        <w:spacing w:after="0" w:line="260" w:lineRule="auto"/>
        <w:rPr>
          <w:i/>
          <w:iCs/>
        </w:rPr>
      </w:pPr>
      <w:r>
        <w:rPr>
          <w:i/>
          <w:iCs/>
        </w:rPr>
        <w:t>Support an RRC parameter for indicating OCC configuration for interlaced PF2</w:t>
      </w:r>
    </w:p>
    <w:p>
      <w:pPr>
        <w:numPr>
          <w:ilvl w:val="0"/>
          <w:numId w:val="16"/>
        </w:numPr>
        <w:spacing w:after="0" w:line="260" w:lineRule="auto"/>
        <w:rPr>
          <w:rFonts w:hint="eastAsia" w:eastAsia="宋体"/>
          <w:i/>
          <w:iCs/>
          <w:lang w:eastAsia="zh-CN"/>
        </w:rPr>
      </w:pPr>
      <w:r>
        <w:rPr>
          <w:i/>
          <w:iCs/>
        </w:rPr>
        <w:t>If two interlaces are configured, user multiplexing is not supported for interlaced PF2</w:t>
      </w:r>
    </w:p>
    <w:p>
      <w:pPr>
        <w:spacing w:before="137" w:beforeLines="50" w:after="60" w:line="260" w:lineRule="auto"/>
        <w:rPr>
          <w:sz w:val="21"/>
          <w:szCs w:val="22"/>
          <w:highlight w:val="green"/>
          <w:lang w:val="en-US"/>
        </w:rPr>
      </w:pPr>
      <w:r>
        <w:rPr>
          <w:sz w:val="21"/>
          <w:szCs w:val="22"/>
          <w:highlight w:val="green"/>
          <w:lang w:val="en-US"/>
        </w:rPr>
        <w:t>Agreement:</w:t>
      </w:r>
    </w:p>
    <w:p>
      <w:pPr>
        <w:numPr>
          <w:ilvl w:val="0"/>
          <w:numId w:val="17"/>
        </w:numPr>
        <w:spacing w:after="0" w:line="260" w:lineRule="auto"/>
        <w:rPr>
          <w:i/>
          <w:iCs/>
        </w:rPr>
      </w:pPr>
      <w:r>
        <w:rPr>
          <w:i/>
          <w:iCs/>
          <w:lang w:val="en-US"/>
        </w:rPr>
        <w:t>Allow configured UL (CUL) transmissions in a set of symbols of a slot when the UE is configured with DCI 2_0 format monitoring and does not detect a DCI 2_0 format providing a slot format for the set of symbols</w:t>
      </w:r>
      <w:r>
        <w:rPr>
          <w:i/>
          <w:iCs/>
        </w:rPr>
        <w:t>. This is applicable when operating with LBE for the following cases.</w:t>
      </w:r>
    </w:p>
    <w:p>
      <w:pPr>
        <w:numPr>
          <w:ilvl w:val="1"/>
          <w:numId w:val="18"/>
        </w:numPr>
        <w:spacing w:after="0" w:line="260" w:lineRule="auto"/>
        <w:rPr>
          <w:i/>
          <w:iCs/>
        </w:rPr>
      </w:pPr>
      <w:r>
        <w:rPr>
          <w:i/>
          <w:iCs/>
          <w:lang w:val="en-US"/>
        </w:rPr>
        <w:t xml:space="preserve">When the set of symbols are indicated as ‘F’ with a semi-static TDD pattern or </w:t>
      </w:r>
    </w:p>
    <w:p>
      <w:pPr>
        <w:numPr>
          <w:ilvl w:val="1"/>
          <w:numId w:val="18"/>
        </w:numPr>
        <w:spacing w:after="0" w:line="260" w:lineRule="auto"/>
        <w:rPr>
          <w:i/>
          <w:iCs/>
        </w:rPr>
      </w:pPr>
      <w:r>
        <w:rPr>
          <w:i/>
          <w:iCs/>
          <w:lang w:val="en-US"/>
        </w:rPr>
        <w:t>When the UE is not configured with a semi-static TDD pattern</w:t>
      </w:r>
    </w:p>
    <w:p>
      <w:pPr>
        <w:numPr>
          <w:ilvl w:val="0"/>
          <w:numId w:val="18"/>
        </w:numPr>
        <w:spacing w:after="0" w:line="260" w:lineRule="auto"/>
        <w:rPr>
          <w:i/>
          <w:iCs/>
          <w:lang w:val="en-US"/>
        </w:rPr>
      </w:pPr>
      <w:r>
        <w:rPr>
          <w:i/>
          <w:iCs/>
          <w:lang w:val="en-US"/>
        </w:rPr>
        <w:t>Note: Configured UL (CUL) transmissions are UL signals/channels configured by higher layers:</w:t>
      </w:r>
    </w:p>
    <w:p>
      <w:pPr>
        <w:numPr>
          <w:ilvl w:val="1"/>
          <w:numId w:val="18"/>
        </w:numPr>
        <w:spacing w:after="0" w:line="260" w:lineRule="auto"/>
        <w:rPr>
          <w:i/>
          <w:iCs/>
          <w:lang w:val="zh-CN"/>
        </w:rPr>
      </w:pPr>
      <w:r>
        <w:rPr>
          <w:i/>
          <w:iCs/>
          <w:lang w:val="en-US"/>
        </w:rPr>
        <w:t>PUCCH</w:t>
      </w:r>
    </w:p>
    <w:p>
      <w:pPr>
        <w:numPr>
          <w:ilvl w:val="1"/>
          <w:numId w:val="18"/>
        </w:numPr>
        <w:spacing w:after="0" w:line="260" w:lineRule="auto"/>
        <w:rPr>
          <w:i/>
          <w:iCs/>
          <w:lang w:val="zh-CN"/>
        </w:rPr>
      </w:pPr>
      <w:r>
        <w:rPr>
          <w:i/>
          <w:iCs/>
          <w:lang w:val="en-US"/>
        </w:rPr>
        <w:t>Configured Grant PUSCH</w:t>
      </w:r>
    </w:p>
    <w:p>
      <w:pPr>
        <w:numPr>
          <w:ilvl w:val="1"/>
          <w:numId w:val="18"/>
        </w:numPr>
        <w:spacing w:after="0" w:line="260" w:lineRule="auto"/>
        <w:rPr>
          <w:i/>
          <w:iCs/>
          <w:lang w:val="en-US"/>
        </w:rPr>
      </w:pPr>
      <w:r>
        <w:rPr>
          <w:i/>
          <w:iCs/>
          <w:lang w:val="en-US"/>
        </w:rPr>
        <w:t>Periodic SRS, [semi-persistent SRS]</w:t>
      </w:r>
    </w:p>
    <w:p>
      <w:pPr>
        <w:numPr>
          <w:ilvl w:val="2"/>
          <w:numId w:val="18"/>
        </w:numPr>
        <w:spacing w:after="0" w:line="260" w:lineRule="auto"/>
        <w:rPr>
          <w:rFonts w:hint="eastAsia"/>
          <w:i/>
          <w:iCs/>
          <w:lang w:val="en-US"/>
        </w:rPr>
      </w:pPr>
      <w:r>
        <w:rPr>
          <w:i/>
          <w:iCs/>
          <w:lang w:val="en-US"/>
        </w:rPr>
        <w:t>Unclear if semi-persistent SRS covered by the current Rel-15 behaviour</w:t>
      </w:r>
    </w:p>
    <w:p>
      <w:pPr>
        <w:numPr>
          <w:ilvl w:val="1"/>
          <w:numId w:val="18"/>
        </w:numPr>
        <w:spacing w:after="0" w:line="260" w:lineRule="auto"/>
        <w:rPr>
          <w:i/>
          <w:iCs/>
          <w:lang w:val="zh-CN"/>
        </w:rPr>
      </w:pPr>
      <w:r>
        <w:rPr>
          <w:i/>
          <w:iCs/>
          <w:lang w:val="en-US"/>
        </w:rPr>
        <w:t>[PRACH]</w:t>
      </w:r>
    </w:p>
    <w:p>
      <w:pPr>
        <w:numPr>
          <w:ilvl w:val="2"/>
          <w:numId w:val="18"/>
        </w:numPr>
        <w:spacing w:after="0" w:line="260" w:lineRule="auto"/>
        <w:rPr>
          <w:i/>
          <w:iCs/>
          <w:lang w:val="en-US"/>
        </w:rPr>
      </w:pPr>
      <w:r>
        <w:rPr>
          <w:i/>
          <w:iCs/>
          <w:lang w:val="en-US"/>
        </w:rPr>
        <w:t>Unclear if PRACH covered by the current Rel-15 behaviour</w:t>
      </w:r>
    </w:p>
    <w:p>
      <w:pPr>
        <w:numPr>
          <w:ilvl w:val="0"/>
          <w:numId w:val="18"/>
        </w:numPr>
        <w:spacing w:after="0" w:line="260" w:lineRule="auto"/>
        <w:rPr>
          <w:rFonts w:hint="eastAsia"/>
          <w:i/>
          <w:iCs/>
          <w:lang w:val="en-US" w:eastAsia="zh-CN"/>
        </w:rPr>
      </w:pPr>
      <w:r>
        <w:rPr>
          <w:i/>
          <w:iCs/>
          <w:lang w:val="en-US"/>
        </w:rPr>
        <w:t>FFS: How to allow the CUL transmissions as per the above</w:t>
      </w:r>
    </w:p>
    <w:p>
      <w:pPr>
        <w:widowControl w:val="0"/>
        <w:autoSpaceDE w:val="0"/>
        <w:autoSpaceDN w:val="0"/>
        <w:adjustRightInd w:val="0"/>
        <w:spacing w:before="180" w:after="0" w:line="260" w:lineRule="auto"/>
        <w:jc w:val="both"/>
        <w:rPr>
          <w:rFonts w:hint="eastAsia" w:eastAsia="宋体"/>
          <w:i/>
          <w:iCs/>
          <w:lang w:val="en-US" w:eastAsia="zh-CN"/>
        </w:rPr>
      </w:pPr>
      <w:r>
        <w:rPr>
          <w:rFonts w:hint="eastAsia"/>
          <w:i/>
          <w:iCs/>
          <w:lang w:val="en-US" w:eastAsia="zh-CN"/>
        </w:rPr>
        <w:t xml:space="preserve"> </w:t>
      </w:r>
      <w:r>
        <w:rPr>
          <w:rFonts w:eastAsia="宋体"/>
          <w:i/>
          <w:iCs/>
          <w:lang w:val="en-US" w:eastAsia="zh-CN"/>
        </w:rPr>
        <w:t>In</w:t>
      </w:r>
      <w:r>
        <w:rPr>
          <w:rFonts w:hint="eastAsia" w:eastAsia="宋体"/>
          <w:i/>
          <w:iCs/>
          <w:lang w:val="en-US" w:eastAsia="zh-CN"/>
        </w:rPr>
        <w:t xml:space="preserve"> RAN1 #98 meeting[</w:t>
      </w:r>
      <w:r>
        <w:rPr>
          <w:rFonts w:hint="eastAsia" w:eastAsia="宋体"/>
          <w:i/>
          <w:iCs/>
          <w:highlight w:val="none"/>
          <w:lang w:val="en-US" w:eastAsia="zh-CN"/>
        </w:rPr>
        <w:t>2</w:t>
      </w:r>
      <w:r>
        <w:rPr>
          <w:rFonts w:hint="eastAsia" w:eastAsia="宋体"/>
          <w:i/>
          <w:iCs/>
          <w:lang w:val="en-US" w:eastAsia="zh-CN"/>
        </w:rPr>
        <w:t xml:space="preserve">], the </w:t>
      </w:r>
      <w:r>
        <w:rPr>
          <w:rFonts w:eastAsia="宋体"/>
          <w:i/>
          <w:iCs/>
          <w:lang w:val="en-US" w:eastAsia="zh-CN"/>
        </w:rPr>
        <w:t>following</w:t>
      </w:r>
      <w:r>
        <w:rPr>
          <w:rFonts w:hint="eastAsia" w:eastAsia="宋体"/>
          <w:i/>
          <w:iCs/>
          <w:lang w:val="en-US" w:eastAsia="zh-CN"/>
        </w:rPr>
        <w:t xml:space="preserve"> agreements </w:t>
      </w:r>
      <w:r>
        <w:rPr>
          <w:rFonts w:eastAsia="宋体"/>
          <w:i/>
          <w:iCs/>
          <w:lang w:val="en-US" w:eastAsia="zh-CN"/>
        </w:rPr>
        <w:t>were</w:t>
      </w:r>
      <w:r>
        <w:rPr>
          <w:rFonts w:hint="eastAsia" w:eastAsia="宋体"/>
          <w:i/>
          <w:iCs/>
          <w:lang w:val="en-US" w:eastAsia="zh-CN"/>
        </w:rPr>
        <w:t xml:space="preserve"> reached on UL signals and channels design for NR-U.</w:t>
      </w:r>
    </w:p>
    <w:p>
      <w:pPr>
        <w:spacing w:before="137" w:beforeLines="50" w:after="60" w:line="260" w:lineRule="auto"/>
        <w:rPr>
          <w:sz w:val="21"/>
          <w:szCs w:val="22"/>
          <w:highlight w:val="green"/>
          <w:lang w:val="en-US" w:eastAsia="zh-CN"/>
        </w:rPr>
      </w:pPr>
      <w:r>
        <w:rPr>
          <w:sz w:val="21"/>
          <w:szCs w:val="22"/>
          <w:highlight w:val="green"/>
          <w:lang w:val="en-US" w:eastAsia="zh-CN"/>
        </w:rPr>
        <w:t>Agreement:</w:t>
      </w:r>
    </w:p>
    <w:p>
      <w:pPr>
        <w:spacing w:after="0"/>
        <w:rPr>
          <w:i/>
          <w:iCs/>
          <w:color w:val="auto"/>
          <w:lang w:eastAsia="zh-CN"/>
        </w:rPr>
      </w:pPr>
      <w:r>
        <w:rPr>
          <w:i/>
          <w:iCs/>
          <w:color w:val="auto"/>
          <w:lang w:eastAsia="zh-CN"/>
        </w:rPr>
        <w:t>The working assumption from RAN1 AH1901 is converted to an agreement with the following modifications:</w:t>
      </w:r>
    </w:p>
    <w:p>
      <w:pPr>
        <w:numPr>
          <w:ilvl w:val="0"/>
          <w:numId w:val="19"/>
        </w:numPr>
        <w:overflowPunct/>
        <w:autoSpaceDE/>
        <w:autoSpaceDN/>
        <w:adjustRightInd/>
        <w:spacing w:after="0"/>
        <w:ind w:left="927"/>
        <w:textAlignment w:val="auto"/>
        <w:rPr>
          <w:i/>
          <w:iCs/>
          <w:color w:val="auto"/>
          <w:lang w:eastAsia="zh-CN"/>
        </w:rPr>
      </w:pPr>
      <w:r>
        <w:rPr>
          <w:i/>
          <w:iCs/>
          <w:color w:val="auto"/>
          <w:lang w:eastAsia="zh-CN"/>
        </w:rPr>
        <w:t>For a given SCS, the following PRB-based interlace design is supported for PUSCH and PUCCH:</w:t>
      </w:r>
    </w:p>
    <w:p>
      <w:pPr>
        <w:numPr>
          <w:ilvl w:val="1"/>
          <w:numId w:val="19"/>
        </w:numPr>
        <w:overflowPunct/>
        <w:autoSpaceDE/>
        <w:autoSpaceDN/>
        <w:adjustRightInd/>
        <w:spacing w:after="0"/>
        <w:ind w:left="1647"/>
        <w:textAlignment w:val="auto"/>
        <w:rPr>
          <w:i/>
          <w:iCs/>
          <w:color w:val="auto"/>
          <w:lang w:eastAsia="zh-CN"/>
        </w:rPr>
      </w:pPr>
      <w:r>
        <w:rPr>
          <w:i/>
          <w:iCs/>
          <w:color w:val="auto"/>
          <w:lang w:eastAsia="zh-CN"/>
        </w:rPr>
        <w:t>Same spacing (M) between consecutive PRBs in an interlace for all interlaces regardless of carrier BW, i.e., the number of PRBs per interlace is dependent on the carrier bandwidth</w:t>
      </w:r>
    </w:p>
    <w:p>
      <w:pPr>
        <w:numPr>
          <w:ilvl w:val="1"/>
          <w:numId w:val="19"/>
        </w:numPr>
        <w:overflowPunct/>
        <w:autoSpaceDE/>
        <w:autoSpaceDN/>
        <w:adjustRightInd/>
        <w:spacing w:after="0"/>
        <w:ind w:left="1647"/>
        <w:textAlignment w:val="auto"/>
        <w:rPr>
          <w:i/>
          <w:iCs/>
          <w:color w:val="auto"/>
          <w:lang w:eastAsia="zh-CN"/>
        </w:rPr>
      </w:pPr>
      <w:r>
        <w:rPr>
          <w:i/>
          <w:iCs/>
          <w:color w:val="auto"/>
          <w:lang w:eastAsia="zh-CN"/>
        </w:rPr>
        <w:t>Point A is the reference for the interlace definition</w:t>
      </w:r>
    </w:p>
    <w:p>
      <w:pPr>
        <w:numPr>
          <w:ilvl w:val="0"/>
          <w:numId w:val="19"/>
        </w:numPr>
        <w:overflowPunct/>
        <w:autoSpaceDE/>
        <w:autoSpaceDN/>
        <w:adjustRightInd/>
        <w:spacing w:after="0"/>
        <w:ind w:left="927"/>
        <w:textAlignment w:val="auto"/>
        <w:rPr>
          <w:i/>
          <w:iCs/>
          <w:color w:val="auto"/>
          <w:lang w:eastAsia="zh-CN"/>
        </w:rPr>
      </w:pPr>
      <w:r>
        <w:rPr>
          <w:i/>
          <w:iCs/>
          <w:color w:val="auto"/>
          <w:lang w:eastAsia="zh-CN"/>
        </w:rPr>
        <w:t>For 15 kHz SCS, M = 10 interlaces and for 30 kHz SCS, M = 5 interlaces for all bandwidths</w:t>
      </w:r>
    </w:p>
    <w:p>
      <w:pPr>
        <w:numPr>
          <w:ilvl w:val="0"/>
          <w:numId w:val="19"/>
        </w:numPr>
        <w:overflowPunct/>
        <w:autoSpaceDE/>
        <w:autoSpaceDN/>
        <w:adjustRightInd/>
        <w:spacing w:after="0"/>
        <w:ind w:left="927"/>
        <w:textAlignment w:val="auto"/>
        <w:rPr>
          <w:i/>
          <w:iCs/>
          <w:color w:val="auto"/>
          <w:lang w:eastAsia="zh-CN"/>
        </w:rPr>
      </w:pPr>
      <w:r>
        <w:rPr>
          <w:i/>
          <w:iCs/>
          <w:color w:val="auto"/>
          <w:lang w:eastAsia="zh-CN"/>
        </w:rPr>
        <w:t>FFS: Whether and how partial interlace allocation is supported considering mechanisms specific to PUSCH and PUCCH</w:t>
      </w:r>
    </w:p>
    <w:p>
      <w:pPr>
        <w:numPr>
          <w:ilvl w:val="0"/>
          <w:numId w:val="19"/>
        </w:numPr>
        <w:overflowPunct/>
        <w:autoSpaceDE/>
        <w:autoSpaceDN/>
        <w:adjustRightInd/>
        <w:spacing w:after="0"/>
        <w:ind w:left="927"/>
        <w:textAlignment w:val="auto"/>
        <w:rPr>
          <w:i/>
          <w:iCs/>
          <w:color w:val="auto"/>
          <w:lang w:eastAsia="zh-CN"/>
        </w:rPr>
      </w:pPr>
      <w:r>
        <w:rPr>
          <w:i/>
          <w:iCs/>
          <w:color w:val="auto"/>
          <w:lang w:eastAsia="zh-CN"/>
        </w:rPr>
        <w:t>FFS: PUCCH bandwidth</w:t>
      </w:r>
    </w:p>
    <w:p>
      <w:pPr>
        <w:numPr>
          <w:ilvl w:val="0"/>
          <w:numId w:val="19"/>
        </w:numPr>
        <w:overflowPunct/>
        <w:autoSpaceDE/>
        <w:autoSpaceDN/>
        <w:adjustRightInd/>
        <w:spacing w:after="0"/>
        <w:ind w:left="927"/>
        <w:textAlignment w:val="auto"/>
        <w:rPr>
          <w:i/>
          <w:iCs/>
          <w:color w:val="auto"/>
          <w:lang w:eastAsia="zh-CN"/>
        </w:rPr>
      </w:pPr>
      <w:r>
        <w:rPr>
          <w:i/>
          <w:iCs/>
          <w:color w:val="auto"/>
          <w:lang w:eastAsia="zh-CN"/>
        </w:rPr>
        <w:t xml:space="preserve">FFS: Whether or how an interlace design for PUSCH and/or PUCCH is supported on 10 MHz according to the revised WID objective </w:t>
      </w:r>
    </w:p>
    <w:p>
      <w:pPr>
        <w:spacing w:before="137" w:beforeLines="50" w:after="60" w:line="260" w:lineRule="auto"/>
        <w:rPr>
          <w:sz w:val="21"/>
          <w:szCs w:val="22"/>
          <w:highlight w:val="green"/>
          <w:lang w:val="en-US" w:eastAsia="zh-CN"/>
        </w:rPr>
      </w:pPr>
      <w:r>
        <w:rPr>
          <w:sz w:val="21"/>
          <w:szCs w:val="22"/>
          <w:highlight w:val="green"/>
          <w:lang w:val="en-US" w:eastAsia="zh-CN"/>
        </w:rPr>
        <w:t>Agreement:</w:t>
      </w:r>
    </w:p>
    <w:p>
      <w:pPr>
        <w:pStyle w:val="16"/>
        <w:overflowPunct w:val="0"/>
        <w:autoSpaceDE w:val="0"/>
        <w:autoSpaceDN w:val="0"/>
        <w:adjustRightInd w:val="0"/>
        <w:spacing w:after="0" w:line="259" w:lineRule="auto"/>
        <w:textAlignment w:val="baseline"/>
        <w:rPr>
          <w:i/>
          <w:iCs/>
          <w:sz w:val="20"/>
        </w:rPr>
      </w:pPr>
      <w:r>
        <w:rPr>
          <w:i/>
          <w:iCs/>
          <w:sz w:val="20"/>
        </w:rPr>
        <w:t xml:space="preserve">Alt-1a (Cycling of cyclic shifts across PRBs of the interlace) is selected from the four alternatives in the RAN1#97 agreement on enhanced Rel-15 PUCCH formats PF0 and PF1 </w:t>
      </w:r>
    </w:p>
    <w:p>
      <w:pPr>
        <w:pStyle w:val="16"/>
        <w:numPr>
          <w:ilvl w:val="0"/>
          <w:numId w:val="16"/>
        </w:numPr>
        <w:overflowPunct w:val="0"/>
        <w:autoSpaceDE w:val="0"/>
        <w:autoSpaceDN w:val="0"/>
        <w:adjustRightInd w:val="0"/>
        <w:spacing w:after="0" w:line="259" w:lineRule="auto"/>
        <w:jc w:val="both"/>
        <w:textAlignment w:val="baseline"/>
        <w:rPr>
          <w:i/>
          <w:iCs/>
          <w:sz w:val="20"/>
        </w:rPr>
      </w:pPr>
      <w:r>
        <w:rPr>
          <w:i/>
          <w:iCs/>
          <w:sz w:val="20"/>
        </w:rPr>
        <w:t>FFS: Cyclic shift ordering</w:t>
      </w:r>
    </w:p>
    <w:p>
      <w:pPr>
        <w:pStyle w:val="16"/>
        <w:overflowPunct w:val="0"/>
        <w:autoSpaceDE w:val="0"/>
        <w:autoSpaceDN w:val="0"/>
        <w:adjustRightInd w:val="0"/>
        <w:spacing w:after="0" w:line="259" w:lineRule="auto"/>
        <w:textAlignment w:val="baseline"/>
        <w:rPr>
          <w:i/>
          <w:iCs/>
          <w:sz w:val="20"/>
        </w:rPr>
      </w:pPr>
      <w:r>
        <w:rPr>
          <w:i/>
          <w:iCs/>
          <w:sz w:val="20"/>
        </w:rPr>
        <w:t>Note: from vivo perspective, the spec-transparent scheme performs similar to the above agreed solution (which has RAN1 spec impact)</w:t>
      </w:r>
    </w:p>
    <w:p>
      <w:pPr>
        <w:spacing w:before="137" w:beforeLines="50" w:after="60" w:line="260" w:lineRule="auto"/>
        <w:rPr>
          <w:sz w:val="21"/>
          <w:szCs w:val="22"/>
          <w:highlight w:val="green"/>
          <w:lang w:val="en-US" w:eastAsia="zh-CN"/>
        </w:rPr>
      </w:pPr>
      <w:r>
        <w:rPr>
          <w:sz w:val="21"/>
          <w:szCs w:val="22"/>
          <w:highlight w:val="green"/>
          <w:lang w:val="en-US" w:eastAsia="zh-CN"/>
        </w:rPr>
        <w:t>Agreement:</w:t>
      </w:r>
    </w:p>
    <w:p>
      <w:pPr>
        <w:spacing w:after="0"/>
        <w:rPr>
          <w:i/>
          <w:iCs/>
          <w:lang w:eastAsia="zh-CN"/>
        </w:rPr>
      </w:pPr>
      <w:r>
        <w:rPr>
          <w:i/>
          <w:iCs/>
          <w:lang w:eastAsia="zh-CN"/>
        </w:rPr>
        <w:t>A bandwidth occupied by a PUCCH resource does not exceed the bandwidth corresponding to a 20 MHz carrier/LBT bandwidth</w:t>
      </w:r>
    </w:p>
    <w:p>
      <w:pPr>
        <w:spacing w:before="137" w:beforeLines="50" w:after="60" w:line="260" w:lineRule="auto"/>
        <w:rPr>
          <w:sz w:val="21"/>
          <w:szCs w:val="22"/>
          <w:highlight w:val="green"/>
          <w:lang w:val="en-US" w:eastAsia="zh-CN"/>
        </w:rPr>
      </w:pPr>
      <w:r>
        <w:rPr>
          <w:sz w:val="21"/>
          <w:szCs w:val="22"/>
          <w:highlight w:val="green"/>
          <w:lang w:val="en-US" w:eastAsia="zh-CN"/>
        </w:rPr>
        <w:t>Agreement:</w:t>
      </w:r>
    </w:p>
    <w:p>
      <w:pPr>
        <w:pStyle w:val="16"/>
        <w:numPr>
          <w:ilvl w:val="0"/>
          <w:numId w:val="20"/>
        </w:numPr>
        <w:overflowPunct w:val="0"/>
        <w:autoSpaceDE w:val="0"/>
        <w:autoSpaceDN w:val="0"/>
        <w:adjustRightInd w:val="0"/>
        <w:spacing w:after="0" w:line="259" w:lineRule="auto"/>
        <w:jc w:val="both"/>
        <w:textAlignment w:val="baseline"/>
        <w:rPr>
          <w:i/>
          <w:iCs/>
          <w:sz w:val="20"/>
        </w:rPr>
      </w:pPr>
      <w:r>
        <w:rPr>
          <w:i/>
          <w:iCs/>
          <w:sz w:val="20"/>
        </w:rPr>
        <w:t>For interlaced PUSCH transmission in a BWP, X bits of the PUSCH frequency domain resource allocation field are used for indicating which combination of M interlaces is allocated to the UE.</w:t>
      </w:r>
    </w:p>
    <w:p>
      <w:pPr>
        <w:pStyle w:val="16"/>
        <w:numPr>
          <w:ilvl w:val="0"/>
          <w:numId w:val="20"/>
        </w:numPr>
        <w:overflowPunct w:val="0"/>
        <w:autoSpaceDE w:val="0"/>
        <w:autoSpaceDN w:val="0"/>
        <w:adjustRightInd w:val="0"/>
        <w:spacing w:after="0" w:line="259" w:lineRule="auto"/>
        <w:jc w:val="both"/>
        <w:textAlignment w:val="baseline"/>
        <w:rPr>
          <w:i/>
          <w:iCs/>
          <w:sz w:val="20"/>
        </w:rPr>
      </w:pPr>
      <w:r>
        <w:rPr>
          <w:i/>
          <w:iCs/>
          <w:sz w:val="20"/>
        </w:rPr>
        <w:t>This applies to PUSCH of the following types:</w:t>
      </w:r>
    </w:p>
    <w:p>
      <w:pPr>
        <w:pStyle w:val="16"/>
        <w:numPr>
          <w:ilvl w:val="1"/>
          <w:numId w:val="20"/>
        </w:numPr>
        <w:overflowPunct w:val="0"/>
        <w:autoSpaceDE w:val="0"/>
        <w:autoSpaceDN w:val="0"/>
        <w:adjustRightInd w:val="0"/>
        <w:spacing w:after="0" w:line="259" w:lineRule="auto"/>
        <w:jc w:val="both"/>
        <w:textAlignment w:val="baseline"/>
        <w:rPr>
          <w:i/>
          <w:iCs/>
          <w:sz w:val="20"/>
        </w:rPr>
      </w:pPr>
      <w:r>
        <w:rPr>
          <w:i/>
          <w:iCs/>
          <w:sz w:val="20"/>
        </w:rPr>
        <w:t>Msg3 PUSCH</w:t>
      </w:r>
    </w:p>
    <w:p>
      <w:pPr>
        <w:pStyle w:val="16"/>
        <w:numPr>
          <w:ilvl w:val="1"/>
          <w:numId w:val="20"/>
        </w:numPr>
        <w:overflowPunct w:val="0"/>
        <w:autoSpaceDE w:val="0"/>
        <w:autoSpaceDN w:val="0"/>
        <w:adjustRightInd w:val="0"/>
        <w:spacing w:after="0" w:line="259" w:lineRule="auto"/>
        <w:jc w:val="both"/>
        <w:textAlignment w:val="baseline"/>
        <w:rPr>
          <w:i/>
          <w:iCs/>
          <w:sz w:val="20"/>
        </w:rPr>
      </w:pPr>
      <w:r>
        <w:rPr>
          <w:i/>
          <w:iCs/>
          <w:sz w:val="20"/>
        </w:rPr>
        <w:t>PUSCH Scheduled by fallback and non-fallback DCI</w:t>
      </w:r>
    </w:p>
    <w:p>
      <w:pPr>
        <w:pStyle w:val="16"/>
        <w:numPr>
          <w:ilvl w:val="1"/>
          <w:numId w:val="20"/>
        </w:numPr>
        <w:overflowPunct w:val="0"/>
        <w:autoSpaceDE w:val="0"/>
        <w:autoSpaceDN w:val="0"/>
        <w:adjustRightInd w:val="0"/>
        <w:spacing w:after="0" w:line="259" w:lineRule="auto"/>
        <w:jc w:val="both"/>
        <w:textAlignment w:val="baseline"/>
        <w:rPr>
          <w:i/>
          <w:iCs/>
          <w:sz w:val="20"/>
        </w:rPr>
      </w:pPr>
      <w:r>
        <w:rPr>
          <w:i/>
          <w:iCs/>
          <w:sz w:val="20"/>
        </w:rPr>
        <w:t>Type 1 and Type 2 Configured Grant PUSCH</w:t>
      </w:r>
    </w:p>
    <w:p>
      <w:pPr>
        <w:pStyle w:val="16"/>
        <w:numPr>
          <w:ilvl w:val="0"/>
          <w:numId w:val="20"/>
        </w:numPr>
        <w:overflowPunct w:val="0"/>
        <w:autoSpaceDE w:val="0"/>
        <w:autoSpaceDN w:val="0"/>
        <w:adjustRightInd w:val="0"/>
        <w:spacing w:after="0" w:line="259" w:lineRule="auto"/>
        <w:jc w:val="both"/>
        <w:textAlignment w:val="baseline"/>
        <w:rPr>
          <w:i/>
          <w:iCs/>
          <w:sz w:val="20"/>
        </w:rPr>
      </w:pPr>
      <w:r>
        <w:rPr>
          <w:i/>
          <w:iCs/>
          <w:sz w:val="20"/>
        </w:rPr>
        <w:t>For 30 kHz SCS</w:t>
      </w:r>
    </w:p>
    <w:p>
      <w:pPr>
        <w:pStyle w:val="16"/>
        <w:numPr>
          <w:ilvl w:val="1"/>
          <w:numId w:val="20"/>
        </w:numPr>
        <w:overflowPunct w:val="0"/>
        <w:autoSpaceDE w:val="0"/>
        <w:autoSpaceDN w:val="0"/>
        <w:adjustRightInd w:val="0"/>
        <w:spacing w:after="0" w:line="259" w:lineRule="auto"/>
        <w:jc w:val="both"/>
        <w:textAlignment w:val="baseline"/>
        <w:rPr>
          <w:i/>
          <w:iCs/>
          <w:sz w:val="20"/>
        </w:rPr>
      </w:pPr>
      <w:r>
        <w:rPr>
          <w:i/>
          <w:iCs/>
          <w:sz w:val="20"/>
        </w:rPr>
        <w:t>Support X = 5 (5-bit bitmap to indicate all possible interlace combinations)</w:t>
      </w:r>
    </w:p>
    <w:p>
      <w:pPr>
        <w:pStyle w:val="16"/>
        <w:numPr>
          <w:ilvl w:val="0"/>
          <w:numId w:val="20"/>
        </w:numPr>
        <w:overflowPunct w:val="0"/>
        <w:autoSpaceDE w:val="0"/>
        <w:autoSpaceDN w:val="0"/>
        <w:adjustRightInd w:val="0"/>
        <w:spacing w:after="0" w:line="259" w:lineRule="auto"/>
        <w:jc w:val="both"/>
        <w:textAlignment w:val="baseline"/>
        <w:rPr>
          <w:i/>
          <w:iCs/>
          <w:sz w:val="20"/>
        </w:rPr>
      </w:pPr>
      <w:r>
        <w:rPr>
          <w:i/>
          <w:iCs/>
          <w:sz w:val="20"/>
        </w:rPr>
        <w:t>For 15 kHz SCS</w:t>
      </w:r>
    </w:p>
    <w:p>
      <w:pPr>
        <w:pStyle w:val="16"/>
        <w:numPr>
          <w:ilvl w:val="1"/>
          <w:numId w:val="20"/>
        </w:numPr>
        <w:overflowPunct w:val="0"/>
        <w:autoSpaceDE w:val="0"/>
        <w:autoSpaceDN w:val="0"/>
        <w:adjustRightInd w:val="0"/>
        <w:spacing w:after="0" w:line="259" w:lineRule="auto"/>
        <w:jc w:val="both"/>
        <w:textAlignment w:val="baseline"/>
        <w:rPr>
          <w:i/>
          <w:iCs/>
          <w:sz w:val="20"/>
        </w:rPr>
      </w:pPr>
      <w:r>
        <w:rPr>
          <w:i/>
          <w:iCs/>
          <w:sz w:val="20"/>
        </w:rPr>
        <w:t>Down-select between the following two alternatives:</w:t>
      </w:r>
    </w:p>
    <w:p>
      <w:pPr>
        <w:pStyle w:val="16"/>
        <w:numPr>
          <w:ilvl w:val="1"/>
          <w:numId w:val="20"/>
        </w:numPr>
        <w:overflowPunct w:val="0"/>
        <w:autoSpaceDE w:val="0"/>
        <w:autoSpaceDN w:val="0"/>
        <w:adjustRightInd w:val="0"/>
        <w:spacing w:after="0" w:line="259" w:lineRule="auto"/>
        <w:jc w:val="both"/>
        <w:textAlignment w:val="baseline"/>
        <w:rPr>
          <w:i/>
          <w:iCs/>
          <w:sz w:val="20"/>
        </w:rPr>
      </w:pPr>
      <w:r>
        <w:rPr>
          <w:i/>
          <w:iCs/>
          <w:sz w:val="20"/>
        </w:rPr>
        <w:t>Alt-1: Support X = 10 (10-bit bitmap to indicate all possible interlace combinations)</w:t>
      </w:r>
    </w:p>
    <w:p>
      <w:pPr>
        <w:pStyle w:val="16"/>
        <w:numPr>
          <w:ilvl w:val="1"/>
          <w:numId w:val="20"/>
        </w:numPr>
        <w:overflowPunct w:val="0"/>
        <w:autoSpaceDE w:val="0"/>
        <w:autoSpaceDN w:val="0"/>
        <w:adjustRightInd w:val="0"/>
        <w:spacing w:after="0" w:line="259" w:lineRule="auto"/>
        <w:jc w:val="both"/>
        <w:textAlignment w:val="baseline"/>
        <w:rPr>
          <w:i/>
          <w:iCs/>
          <w:sz w:val="20"/>
        </w:rPr>
      </w:pPr>
      <w:r>
        <w:rPr>
          <w:i/>
          <w:iCs/>
          <w:sz w:val="20"/>
        </w:rPr>
        <w:t>Alt-2: Support X = 6 bits to indicate start interlace index and number of contiguous interlace indices (RIV) and using remaining up to 9 RIV values to indicate specific pre-defined interlace combinations</w:t>
      </w:r>
    </w:p>
    <w:p>
      <w:pPr>
        <w:spacing w:before="137" w:beforeLines="50" w:after="60" w:line="260" w:lineRule="auto"/>
        <w:rPr>
          <w:sz w:val="21"/>
          <w:szCs w:val="22"/>
          <w:highlight w:val="green"/>
          <w:u w:val="none"/>
          <w:lang w:val="en-US" w:eastAsia="zh-CN"/>
        </w:rPr>
      </w:pPr>
      <w:r>
        <w:rPr>
          <w:sz w:val="21"/>
          <w:szCs w:val="22"/>
          <w:highlight w:val="green"/>
          <w:u w:val="none"/>
          <w:lang w:val="en-US" w:eastAsia="zh-CN"/>
        </w:rPr>
        <w:t>Conclusion:</w:t>
      </w:r>
    </w:p>
    <w:p>
      <w:pPr>
        <w:pStyle w:val="16"/>
        <w:overflowPunct w:val="0"/>
        <w:autoSpaceDE w:val="0"/>
        <w:autoSpaceDN w:val="0"/>
        <w:adjustRightInd w:val="0"/>
        <w:spacing w:after="0" w:line="259" w:lineRule="auto"/>
        <w:textAlignment w:val="baseline"/>
        <w:rPr>
          <w:i/>
          <w:iCs/>
          <w:sz w:val="20"/>
        </w:rPr>
      </w:pPr>
      <w:r>
        <w:rPr>
          <w:i/>
          <w:iCs/>
          <w:sz w:val="20"/>
        </w:rPr>
        <w:t xml:space="preserve">For 10 MHz carrier bandwidth, enhancements to Rel-15 UL signals and channels are not necessary. </w:t>
      </w:r>
    </w:p>
    <w:p>
      <w:pPr>
        <w:spacing w:before="137" w:beforeLines="50" w:after="60" w:line="260" w:lineRule="auto"/>
        <w:rPr>
          <w:sz w:val="21"/>
          <w:szCs w:val="22"/>
          <w:highlight w:val="green"/>
          <w:u w:val="none"/>
          <w:lang w:val="en-US" w:eastAsia="zh-CN"/>
        </w:rPr>
      </w:pPr>
      <w:r>
        <w:rPr>
          <w:sz w:val="21"/>
          <w:szCs w:val="22"/>
          <w:highlight w:val="green"/>
          <w:u w:val="none"/>
          <w:lang w:val="en-US" w:eastAsia="zh-CN"/>
        </w:rPr>
        <w:t>Agreement:</w:t>
      </w:r>
    </w:p>
    <w:p>
      <w:pPr>
        <w:pStyle w:val="16"/>
        <w:overflowPunct w:val="0"/>
        <w:autoSpaceDE w:val="0"/>
        <w:autoSpaceDN w:val="0"/>
        <w:adjustRightInd w:val="0"/>
        <w:spacing w:after="0" w:line="260" w:lineRule="auto"/>
        <w:textAlignment w:val="baseline"/>
        <w:rPr>
          <w:i/>
          <w:iCs/>
          <w:sz w:val="20"/>
        </w:rPr>
      </w:pPr>
      <w:r>
        <w:rPr>
          <w:i/>
          <w:iCs/>
          <w:sz w:val="20"/>
        </w:rPr>
        <w:t>A PUCCH resource configured with interleaved mapping occupies consecutive PRBs within at least one interlace within a BWP. The PUCCH resource configuration includes the following:</w:t>
      </w:r>
    </w:p>
    <w:p>
      <w:pPr>
        <w:pStyle w:val="16"/>
        <w:numPr>
          <w:ilvl w:val="0"/>
          <w:numId w:val="20"/>
        </w:numPr>
        <w:overflowPunct w:val="0"/>
        <w:autoSpaceDE w:val="0"/>
        <w:autoSpaceDN w:val="0"/>
        <w:adjustRightInd w:val="0"/>
        <w:spacing w:after="0" w:line="260" w:lineRule="auto"/>
        <w:jc w:val="both"/>
        <w:textAlignment w:val="baseline"/>
        <w:rPr>
          <w:i/>
          <w:iCs/>
          <w:sz w:val="20"/>
        </w:rPr>
      </w:pPr>
      <w:r>
        <w:rPr>
          <w:i/>
          <w:iCs/>
          <w:sz w:val="20"/>
        </w:rPr>
        <w:t>An indication of the allocated interlace</w:t>
      </w:r>
    </w:p>
    <w:p>
      <w:pPr>
        <w:pStyle w:val="16"/>
        <w:numPr>
          <w:ilvl w:val="0"/>
          <w:numId w:val="20"/>
        </w:numPr>
        <w:overflowPunct w:val="0"/>
        <w:autoSpaceDE w:val="0"/>
        <w:autoSpaceDN w:val="0"/>
        <w:adjustRightInd w:val="0"/>
        <w:spacing w:after="0" w:line="260" w:lineRule="auto"/>
        <w:jc w:val="both"/>
        <w:textAlignment w:val="baseline"/>
        <w:rPr>
          <w:i/>
          <w:iCs/>
          <w:sz w:val="20"/>
        </w:rPr>
      </w:pPr>
      <w:r>
        <w:rPr>
          <w:i/>
          <w:iCs/>
          <w:sz w:val="20"/>
        </w:rPr>
        <w:t>An indication of the location of the PUCCH resource within the allocated interlace</w:t>
      </w:r>
    </w:p>
    <w:p>
      <w:pPr>
        <w:pStyle w:val="16"/>
        <w:numPr>
          <w:ilvl w:val="1"/>
          <w:numId w:val="20"/>
        </w:numPr>
        <w:overflowPunct w:val="0"/>
        <w:autoSpaceDE w:val="0"/>
        <w:autoSpaceDN w:val="0"/>
        <w:adjustRightInd w:val="0"/>
        <w:spacing w:after="0" w:line="260" w:lineRule="auto"/>
        <w:jc w:val="both"/>
        <w:textAlignment w:val="baseline"/>
        <w:rPr>
          <w:i/>
          <w:iCs/>
          <w:sz w:val="20"/>
        </w:rPr>
      </w:pPr>
      <w:r>
        <w:rPr>
          <w:i/>
          <w:iCs/>
          <w:sz w:val="20"/>
        </w:rPr>
        <w:t>Note: This may not be needed for a bandwidth part of 20 MHz or less</w:t>
      </w:r>
    </w:p>
    <w:p>
      <w:pPr>
        <w:pStyle w:val="16"/>
        <w:numPr>
          <w:ilvl w:val="0"/>
          <w:numId w:val="20"/>
        </w:numPr>
        <w:overflowPunct w:val="0"/>
        <w:autoSpaceDE w:val="0"/>
        <w:autoSpaceDN w:val="0"/>
        <w:adjustRightInd w:val="0"/>
        <w:spacing w:after="0" w:line="260" w:lineRule="auto"/>
        <w:jc w:val="both"/>
        <w:textAlignment w:val="baseline"/>
        <w:rPr>
          <w:i/>
          <w:iCs/>
          <w:sz w:val="20"/>
        </w:rPr>
      </w:pPr>
      <w:r>
        <w:rPr>
          <w:i/>
          <w:iCs/>
          <w:sz w:val="20"/>
        </w:rPr>
        <w:t>The number of PRBs N</w:t>
      </w:r>
      <w:r>
        <w:rPr>
          <w:i/>
          <w:iCs/>
          <w:sz w:val="20"/>
          <w:vertAlign w:val="subscript"/>
        </w:rPr>
        <w:t>PUCCH</w:t>
      </w:r>
      <w:r>
        <w:rPr>
          <w:i/>
          <w:iCs/>
          <w:sz w:val="20"/>
        </w:rPr>
        <w:t xml:space="preserve"> within the allocated interlace given by the following:</w:t>
      </w:r>
    </w:p>
    <w:p>
      <w:pPr>
        <w:pStyle w:val="16"/>
        <w:numPr>
          <w:ilvl w:val="1"/>
          <w:numId w:val="20"/>
        </w:numPr>
        <w:overflowPunct w:val="0"/>
        <w:autoSpaceDE w:val="0"/>
        <w:autoSpaceDN w:val="0"/>
        <w:adjustRightInd w:val="0"/>
        <w:spacing w:after="0" w:line="260" w:lineRule="auto"/>
        <w:jc w:val="both"/>
        <w:textAlignment w:val="baseline"/>
        <w:rPr>
          <w:i/>
          <w:iCs/>
          <w:sz w:val="20"/>
        </w:rPr>
      </w:pPr>
      <w:r>
        <w:rPr>
          <w:i/>
          <w:iCs/>
          <w:sz w:val="20"/>
        </w:rPr>
        <w:t>For Interlaced PF0/1/2:</w:t>
      </w:r>
    </w:p>
    <w:p>
      <w:pPr>
        <w:pStyle w:val="16"/>
        <w:numPr>
          <w:ilvl w:val="2"/>
          <w:numId w:val="20"/>
        </w:numPr>
        <w:overflowPunct w:val="0"/>
        <w:autoSpaceDE w:val="0"/>
        <w:autoSpaceDN w:val="0"/>
        <w:adjustRightInd w:val="0"/>
        <w:spacing w:after="0" w:line="260" w:lineRule="auto"/>
        <w:jc w:val="both"/>
        <w:textAlignment w:val="baseline"/>
        <w:rPr>
          <w:i/>
          <w:iCs/>
          <w:sz w:val="20"/>
        </w:rPr>
      </w:pPr>
      <w:r>
        <w:rPr>
          <w:i/>
          <w:iCs/>
          <w:sz w:val="20"/>
        </w:rPr>
        <w:t>N</w:t>
      </w:r>
      <w:r>
        <w:rPr>
          <w:i/>
          <w:iCs/>
          <w:sz w:val="20"/>
          <w:vertAlign w:val="subscript"/>
        </w:rPr>
        <w:t>PUCCH</w:t>
      </w:r>
      <w:r>
        <w:rPr>
          <w:i/>
          <w:iCs/>
          <w:sz w:val="20"/>
        </w:rPr>
        <w:t xml:space="preserve"> = 10 or 11 depending on the allocated interlace</w:t>
      </w:r>
    </w:p>
    <w:p>
      <w:pPr>
        <w:pStyle w:val="16"/>
        <w:numPr>
          <w:ilvl w:val="1"/>
          <w:numId w:val="20"/>
        </w:numPr>
        <w:overflowPunct w:val="0"/>
        <w:autoSpaceDE w:val="0"/>
        <w:autoSpaceDN w:val="0"/>
        <w:adjustRightInd w:val="0"/>
        <w:spacing w:after="0" w:line="260" w:lineRule="auto"/>
        <w:jc w:val="both"/>
        <w:textAlignment w:val="baseline"/>
        <w:rPr>
          <w:i/>
          <w:iCs/>
          <w:sz w:val="20"/>
        </w:rPr>
      </w:pPr>
      <w:r>
        <w:rPr>
          <w:i/>
          <w:iCs/>
          <w:sz w:val="20"/>
        </w:rPr>
        <w:t>For Interlaced PF3:</w:t>
      </w:r>
    </w:p>
    <w:p>
      <w:pPr>
        <w:pStyle w:val="16"/>
        <w:numPr>
          <w:ilvl w:val="2"/>
          <w:numId w:val="20"/>
        </w:numPr>
        <w:overflowPunct w:val="0"/>
        <w:autoSpaceDE w:val="0"/>
        <w:autoSpaceDN w:val="0"/>
        <w:adjustRightInd w:val="0"/>
        <w:spacing w:after="0" w:line="260" w:lineRule="auto"/>
        <w:jc w:val="both"/>
        <w:textAlignment w:val="baseline"/>
        <w:rPr>
          <w:i/>
          <w:iCs/>
          <w:sz w:val="20"/>
        </w:rPr>
      </w:pPr>
      <w:r>
        <w:rPr>
          <w:i/>
          <w:iCs/>
          <w:sz w:val="20"/>
        </w:rPr>
        <w:t>N</w:t>
      </w:r>
      <w:r>
        <w:rPr>
          <w:i/>
          <w:iCs/>
          <w:sz w:val="20"/>
          <w:vertAlign w:val="subscript"/>
        </w:rPr>
        <w:t>PUCCH</w:t>
      </w:r>
      <w:r>
        <w:rPr>
          <w:i/>
          <w:iCs/>
          <w:sz w:val="20"/>
        </w:rPr>
        <w:t xml:space="preserve"> = 10</w:t>
      </w:r>
    </w:p>
    <w:p>
      <w:pPr>
        <w:pStyle w:val="16"/>
        <w:numPr>
          <w:ilvl w:val="0"/>
          <w:numId w:val="20"/>
        </w:numPr>
        <w:overflowPunct w:val="0"/>
        <w:autoSpaceDE w:val="0"/>
        <w:autoSpaceDN w:val="0"/>
        <w:adjustRightInd w:val="0"/>
        <w:spacing w:after="0" w:line="260" w:lineRule="auto"/>
        <w:jc w:val="both"/>
        <w:textAlignment w:val="baseline"/>
        <w:rPr>
          <w:i/>
          <w:iCs/>
          <w:sz w:val="20"/>
        </w:rPr>
      </w:pPr>
      <w:r>
        <w:rPr>
          <w:i/>
          <w:iCs/>
          <w:sz w:val="20"/>
        </w:rPr>
        <w:t>FFS: Whether/how an interlaced PF2/3 resource can be configured on 2 interlaces to increase the number of allocated PRBs to 20, 21, or 22 depending on the allocated interlaces</w:t>
      </w:r>
    </w:p>
    <w:p>
      <w:pPr>
        <w:pStyle w:val="16"/>
        <w:numPr>
          <w:ilvl w:val="0"/>
          <w:numId w:val="20"/>
        </w:numPr>
        <w:overflowPunct w:val="0"/>
        <w:autoSpaceDE w:val="0"/>
        <w:autoSpaceDN w:val="0"/>
        <w:adjustRightInd w:val="0"/>
        <w:spacing w:after="0" w:line="260" w:lineRule="auto"/>
        <w:jc w:val="both"/>
        <w:textAlignment w:val="baseline"/>
        <w:rPr>
          <w:i/>
          <w:iCs/>
          <w:sz w:val="20"/>
        </w:rPr>
      </w:pPr>
      <w:r>
        <w:rPr>
          <w:i/>
          <w:iCs/>
          <w:sz w:val="20"/>
        </w:rPr>
        <w:t>FFS: Whether or not the BWP can be configured such that N</w:t>
      </w:r>
      <w:r>
        <w:rPr>
          <w:i/>
          <w:iCs/>
          <w:sz w:val="20"/>
          <w:vertAlign w:val="subscript"/>
        </w:rPr>
        <w:t>PUCCH</w:t>
      </w:r>
      <w:r>
        <w:rPr>
          <w:i/>
          <w:iCs/>
          <w:sz w:val="20"/>
        </w:rPr>
        <w:t xml:space="preserve"> is less than 10 or 11</w:t>
      </w:r>
    </w:p>
    <w:p>
      <w:pPr>
        <w:pStyle w:val="16"/>
        <w:numPr>
          <w:ilvl w:val="0"/>
          <w:numId w:val="20"/>
        </w:numPr>
        <w:overflowPunct w:val="0"/>
        <w:autoSpaceDE w:val="0"/>
        <w:autoSpaceDN w:val="0"/>
        <w:adjustRightInd w:val="0"/>
        <w:spacing w:after="0" w:line="260" w:lineRule="auto"/>
        <w:jc w:val="both"/>
        <w:textAlignment w:val="baseline"/>
        <w:rPr>
          <w:i/>
          <w:iCs/>
          <w:sz w:val="20"/>
        </w:rPr>
      </w:pPr>
      <w:r>
        <w:rPr>
          <w:i/>
          <w:iCs/>
          <w:sz w:val="20"/>
        </w:rPr>
        <w:t>FFS: Potential impact due to in-carrier guard bands</w:t>
      </w:r>
    </w:p>
    <w:p>
      <w:pPr>
        <w:pStyle w:val="16"/>
        <w:numPr>
          <w:ilvl w:val="0"/>
          <w:numId w:val="20"/>
        </w:numPr>
        <w:overflowPunct w:val="0"/>
        <w:autoSpaceDE w:val="0"/>
        <w:autoSpaceDN w:val="0"/>
        <w:adjustRightInd w:val="0"/>
        <w:spacing w:after="0" w:line="260" w:lineRule="auto"/>
        <w:jc w:val="both"/>
        <w:textAlignment w:val="baseline"/>
        <w:rPr>
          <w:i/>
          <w:iCs/>
          <w:sz w:val="20"/>
        </w:rPr>
      </w:pPr>
      <w:r>
        <w:rPr>
          <w:i/>
          <w:iCs/>
          <w:sz w:val="20"/>
        </w:rPr>
        <w:t>Note: The UE is not expected to be configured with PUCCH transmissions spanning multiple LBT bandwidths</w:t>
      </w:r>
    </w:p>
    <w:p>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hint="eastAsia" w:eastAsia="宋体"/>
          <w:lang w:val="en-US" w:eastAsia="zh-CN"/>
        </w:rPr>
        <w:t>we discuss the remaining open issues of UL channel and UL signals.</w:t>
      </w:r>
    </w:p>
    <w:p>
      <w:pPr>
        <w:pStyle w:val="2"/>
        <w:jc w:val="both"/>
        <w:rPr>
          <w:rFonts w:eastAsia="宋体" w:cs="Arial"/>
          <w:b/>
          <w:sz w:val="28"/>
          <w:szCs w:val="28"/>
          <w:lang w:eastAsia="zh-CN"/>
        </w:rPr>
      </w:pPr>
      <w:r>
        <w:rPr>
          <w:rFonts w:eastAsia="宋体" w:cs="Arial"/>
          <w:b/>
          <w:sz w:val="28"/>
          <w:szCs w:val="28"/>
          <w:lang w:val="en-US" w:eastAsia="zh-CN"/>
        </w:rPr>
        <w:t xml:space="preserve"> Potential UL physical channels and reference signals design</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PUSCH</w:t>
      </w:r>
    </w:p>
    <w:p>
      <w:pPr>
        <w:pStyle w:val="4"/>
        <w:tabs>
          <w:tab w:val="left" w:pos="450"/>
        </w:tabs>
        <w:spacing w:before="200" w:after="180" w:line="260" w:lineRule="auto"/>
        <w:ind w:left="567" w:hanging="567"/>
        <w:rPr>
          <w:rFonts w:cs="Times New Roman"/>
          <w:b/>
          <w:iCs w:val="0"/>
          <w:color w:val="000000"/>
          <w:sz w:val="21"/>
          <w:szCs w:val="21"/>
          <w:lang w:val="en-US" w:eastAsia="zh-CN"/>
        </w:rPr>
      </w:pPr>
      <w:r>
        <w:rPr>
          <w:rFonts w:hint="eastAsia" w:cs="Times New Roman"/>
          <w:b/>
          <w:iCs w:val="0"/>
          <w:color w:val="000000"/>
          <w:sz w:val="21"/>
          <w:szCs w:val="21"/>
          <w:lang w:val="en-US" w:eastAsia="zh-CN"/>
        </w:rPr>
        <w:t xml:space="preserve"> PUSCH resource allocation in frequency domain </w:t>
      </w:r>
    </w:p>
    <w:p>
      <w:pPr>
        <w:numPr>
          <w:ilvl w:val="0"/>
          <w:numId w:val="0"/>
        </w:numPr>
        <w:spacing w:before="137" w:beforeLines="50" w:after="137" w:afterLines="50" w:line="260" w:lineRule="auto"/>
        <w:jc w:val="both"/>
        <w:rPr>
          <w:rFonts w:hint="default" w:eastAsia="Times New Roman"/>
          <w:bCs w:val="0"/>
          <w:sz w:val="20"/>
          <w:szCs w:val="20"/>
          <w:lang w:val="en-US" w:eastAsia="zh-CN"/>
        </w:rPr>
      </w:pPr>
      <w:r>
        <w:rPr>
          <w:rFonts w:hint="default" w:eastAsia="Times New Roman"/>
          <w:bCs w:val="0"/>
          <w:sz w:val="20"/>
          <w:szCs w:val="20"/>
          <w:lang w:val="en-US" w:eastAsia="zh-CN"/>
        </w:rPr>
        <w:t>In RAN1 #98 meeting, the working assumption “</w:t>
      </w:r>
      <w:r>
        <w:rPr>
          <w:rFonts w:cs="Times New Roman"/>
          <w:sz w:val="20"/>
          <w:szCs w:val="20"/>
          <w:lang w:eastAsia="zh-CN"/>
        </w:rPr>
        <w:t>For 15 kHz SCS, M = 10 interlaces and for 30 kHz SCS, M = 5 interlaces for all bandwidths</w:t>
      </w:r>
      <w:r>
        <w:rPr>
          <w:rFonts w:hint="default" w:eastAsia="Times New Roman"/>
          <w:bCs w:val="0"/>
          <w:sz w:val="20"/>
          <w:szCs w:val="20"/>
          <w:lang w:val="en-US" w:eastAsia="zh-CN"/>
        </w:rPr>
        <w:t xml:space="preserve">” in </w:t>
      </w:r>
      <w:r>
        <w:rPr>
          <w:rFonts w:hint="default"/>
          <w:bCs w:val="0"/>
          <w:sz w:val="20"/>
          <w:szCs w:val="20"/>
          <w:lang w:val="en-US" w:eastAsia="zh-CN"/>
        </w:rPr>
        <w:t xml:space="preserve">RAN1 </w:t>
      </w:r>
      <w:r>
        <w:rPr>
          <w:rFonts w:hint="default" w:eastAsia="Times New Roman"/>
          <w:bCs w:val="0"/>
          <w:sz w:val="20"/>
          <w:szCs w:val="20"/>
          <w:lang w:val="en-US" w:eastAsia="zh-CN"/>
        </w:rPr>
        <w:t xml:space="preserve">#AH1901 was confirmed. Thus the number of interlaces for all bandwidths </w:t>
      </w:r>
      <w:r>
        <w:rPr>
          <w:rFonts w:hint="default"/>
          <w:bCs w:val="0"/>
          <w:sz w:val="20"/>
          <w:szCs w:val="20"/>
          <w:lang w:val="en-US" w:eastAsia="zh-CN"/>
        </w:rPr>
        <w:t>is at most</w:t>
      </w:r>
      <w:r>
        <w:rPr>
          <w:rFonts w:hint="default" w:eastAsia="Times New Roman"/>
          <w:bCs w:val="0"/>
          <w:sz w:val="20"/>
          <w:szCs w:val="20"/>
          <w:lang w:val="en-US" w:eastAsia="zh-CN"/>
        </w:rPr>
        <w:t xml:space="preserve"> 10. For Alt-1, 10 bits are enough to indicate all possible interlace combinations. For Alt-2, which is similar to uplink resource allocation type 3</w:t>
      </w:r>
      <w:r>
        <w:rPr>
          <w:rFonts w:hint="default"/>
          <w:bCs w:val="0"/>
          <w:sz w:val="20"/>
          <w:szCs w:val="20"/>
          <w:lang w:val="en-US" w:eastAsia="zh-CN"/>
        </w:rPr>
        <w:t xml:space="preserve"> in LTE eLAA</w:t>
      </w:r>
      <w:r>
        <w:rPr>
          <w:rFonts w:hint="default" w:eastAsia="Times New Roman"/>
          <w:bCs w:val="0"/>
          <w:sz w:val="20"/>
          <w:szCs w:val="20"/>
          <w:lang w:val="en-US" w:eastAsia="zh-CN"/>
        </w:rPr>
        <w:t xml:space="preserve">, but for the predefined interlace combinations, there are mainly two different schemes. Some </w:t>
      </w:r>
      <w:r>
        <w:rPr>
          <w:rFonts w:hint="default"/>
          <w:bCs w:val="0"/>
          <w:sz w:val="20"/>
          <w:szCs w:val="20"/>
          <w:lang w:val="en-US" w:eastAsia="zh-CN"/>
        </w:rPr>
        <w:t>companies</w:t>
      </w:r>
      <w:r>
        <w:rPr>
          <w:rFonts w:hint="default" w:eastAsia="Times New Roman"/>
          <w:bCs w:val="0"/>
          <w:sz w:val="20"/>
          <w:szCs w:val="20"/>
          <w:lang w:val="en-US" w:eastAsia="zh-CN"/>
        </w:rPr>
        <w:t xml:space="preserve"> proposed a new interlace combinations, and other </w:t>
      </w:r>
      <w:r>
        <w:rPr>
          <w:rFonts w:hint="default"/>
          <w:bCs w:val="0"/>
          <w:sz w:val="20"/>
          <w:szCs w:val="20"/>
          <w:lang w:val="en-US" w:eastAsia="zh-CN"/>
        </w:rPr>
        <w:t>companie</w:t>
      </w:r>
      <w:r>
        <w:rPr>
          <w:rFonts w:hint="default" w:eastAsia="Times New Roman"/>
          <w:bCs w:val="0"/>
          <w:sz w:val="20"/>
          <w:szCs w:val="20"/>
          <w:lang w:val="en-US" w:eastAsia="zh-CN"/>
        </w:rPr>
        <w:t>s proposed to use the same predefined interlace combinations as in LTE eLAA. In our understanding, the predefined interlace combinations c</w:t>
      </w:r>
      <w:r>
        <w:rPr>
          <w:rFonts w:hint="default"/>
          <w:bCs w:val="0"/>
          <w:sz w:val="20"/>
          <w:szCs w:val="20"/>
          <w:lang w:val="en-US" w:eastAsia="zh-CN"/>
        </w:rPr>
        <w:t>an</w:t>
      </w:r>
      <w:r>
        <w:rPr>
          <w:rFonts w:hint="default" w:eastAsia="Times New Roman"/>
          <w:bCs w:val="0"/>
          <w:sz w:val="20"/>
          <w:szCs w:val="20"/>
          <w:lang w:val="en-US" w:eastAsia="zh-CN"/>
        </w:rPr>
        <w:t xml:space="preserve"> </w:t>
      </w:r>
      <w:r>
        <w:rPr>
          <w:rFonts w:hint="default"/>
          <w:bCs w:val="0"/>
          <w:sz w:val="20"/>
          <w:szCs w:val="20"/>
          <w:lang w:val="en-US" w:eastAsia="zh-CN"/>
        </w:rPr>
        <w:t xml:space="preserve">also </w:t>
      </w:r>
      <w:r>
        <w:rPr>
          <w:rFonts w:hint="default" w:eastAsia="Times New Roman"/>
          <w:bCs w:val="0"/>
          <w:sz w:val="20"/>
          <w:szCs w:val="20"/>
          <w:lang w:val="en-US" w:eastAsia="zh-CN"/>
        </w:rPr>
        <w:t>be spec-transparent by using bitmap scheme. Moreover, the types of resource allocation are consistent for 30kHz SCS and 15kHz SCS.</w:t>
      </w:r>
    </w:p>
    <w:p>
      <w:pPr>
        <w:numPr>
          <w:ilvl w:val="0"/>
          <w:numId w:val="0"/>
        </w:numPr>
        <w:spacing w:before="137" w:beforeLines="50" w:after="137" w:afterLines="50" w:line="260" w:lineRule="auto"/>
        <w:jc w:val="both"/>
        <w:rPr>
          <w:rFonts w:hint="default" w:eastAsia="Times New Roman"/>
          <w:bCs w:val="0"/>
          <w:sz w:val="20"/>
          <w:szCs w:val="20"/>
          <w:lang w:val="en-US" w:eastAsia="zh-CN"/>
        </w:rPr>
      </w:pPr>
      <w:r>
        <w:rPr>
          <w:rFonts w:hint="default"/>
          <w:bCs w:val="0"/>
          <w:sz w:val="20"/>
          <w:szCs w:val="20"/>
          <w:lang w:val="en-US" w:eastAsia="zh-CN"/>
        </w:rPr>
        <w:t>Considering there are 4 bits can be saved for Alt-2, and the unused RIVs can be used to indicate some predefined interlace combinations. From this perspective, Alt-2 with the same interlace combinations as in LTE eLAA can be supported.</w:t>
      </w:r>
    </w:p>
    <w:p>
      <w:pPr>
        <w:numPr>
          <w:ilvl w:val="0"/>
          <w:numId w:val="0"/>
        </w:numPr>
        <w:spacing w:before="137" w:beforeLines="50" w:after="137" w:afterLines="50" w:line="260" w:lineRule="auto"/>
        <w:jc w:val="both"/>
        <w:rPr>
          <w:rFonts w:hint="default" w:eastAsia="Times New Roman"/>
          <w:bCs w:val="0"/>
          <w:sz w:val="20"/>
          <w:szCs w:val="20"/>
          <w:lang w:val="en-US" w:eastAsia="zh-CN"/>
        </w:rPr>
      </w:pPr>
      <w:r>
        <w:rPr>
          <w:rFonts w:hint="default"/>
          <w:bCs w:val="0"/>
          <w:sz w:val="20"/>
          <w:szCs w:val="20"/>
          <w:lang w:val="en-US" w:eastAsia="zh-CN"/>
        </w:rPr>
        <w:t xml:space="preserve">To sum up, we prefer Alt-2 with the same interlace combinations as in LTE eLAA. And if the agreement about the predefined </w:t>
      </w:r>
      <w:r>
        <w:rPr>
          <w:rFonts w:hint="default" w:eastAsia="Times New Roman"/>
          <w:bCs w:val="0"/>
          <w:i w:val="0"/>
          <w:iCs w:val="0"/>
          <w:sz w:val="20"/>
          <w:szCs w:val="20"/>
          <w:lang w:val="en-US" w:eastAsia="zh-CN"/>
        </w:rPr>
        <w:t>interlace combination</w:t>
      </w:r>
      <w:r>
        <w:rPr>
          <w:rFonts w:hint="default"/>
          <w:bCs w:val="0"/>
          <w:i w:val="0"/>
          <w:iCs w:val="0"/>
          <w:sz w:val="20"/>
          <w:szCs w:val="20"/>
          <w:lang w:val="en-US" w:eastAsia="zh-CN"/>
        </w:rPr>
        <w:t xml:space="preserve"> </w:t>
      </w:r>
      <w:r>
        <w:rPr>
          <w:rFonts w:hint="default"/>
          <w:bCs w:val="0"/>
          <w:sz w:val="20"/>
          <w:szCs w:val="20"/>
          <w:lang w:val="en-US" w:eastAsia="zh-CN"/>
        </w:rPr>
        <w:t>can’t be reached, we suggest Alt-1 can be supported.</w:t>
      </w:r>
    </w:p>
    <w:p>
      <w:pPr>
        <w:numPr>
          <w:ilvl w:val="-1"/>
          <w:numId w:val="0"/>
        </w:numPr>
        <w:ind w:left="0" w:firstLine="0"/>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1</w:t>
      </w:r>
      <w:r>
        <w:rPr>
          <w:rFonts w:eastAsia="宋体"/>
          <w:b/>
          <w:lang w:eastAsia="zh-CN"/>
        </w:rPr>
        <w:t xml:space="preserve">: </w:t>
      </w:r>
      <w:r>
        <w:rPr>
          <w:rFonts w:hint="eastAsia" w:eastAsia="宋体"/>
          <w:i/>
          <w:iCs/>
          <w:lang w:val="en-US" w:eastAsia="zh-CN"/>
        </w:rPr>
        <w:t xml:space="preserve">For PUSCH resource allocation in frequency domain, </w:t>
      </w:r>
      <w:r>
        <w:rPr>
          <w:rFonts w:hint="eastAsia" w:eastAsia="宋体"/>
          <w:bCs/>
          <w:i/>
          <w:iCs/>
          <w:lang w:val="en-US" w:eastAsia="zh-CN"/>
        </w:rPr>
        <w:t xml:space="preserve">the scheme of Alt-2 with the same interlace combinations as in LTE eLAA should be supported. </w:t>
      </w:r>
    </w:p>
    <w:p>
      <w:pPr>
        <w:spacing w:before="137" w:after="137" w:afterLines="50" w:line="260" w:lineRule="auto"/>
        <w:jc w:val="both"/>
        <w:rPr>
          <w:rFonts w:hint="default" w:eastAsia="Times New Roman"/>
          <w:lang w:val="en-US" w:eastAsia="zh-CN"/>
        </w:rPr>
      </w:pPr>
      <w:r>
        <w:rPr>
          <w:rFonts w:hint="default" w:eastAsia="Times New Roman"/>
          <w:lang w:val="en-US" w:eastAsia="zh-CN"/>
        </w:rPr>
        <w:t>F</w:t>
      </w:r>
      <w:r>
        <w:rPr>
          <w:lang w:val="en-US" w:eastAsia="zh-CN"/>
        </w:rPr>
        <w:t>or the case of PUSCH transmissions after dedicated configuration</w:t>
      </w:r>
      <w:r>
        <w:rPr>
          <w:rFonts w:hint="default" w:eastAsia="Times New Roman"/>
          <w:lang w:val="en-US" w:eastAsia="zh-CN"/>
        </w:rPr>
        <w:t>, i</w:t>
      </w:r>
      <w:r>
        <w:rPr>
          <w:lang w:val="en-US" w:eastAsia="zh-CN"/>
        </w:rPr>
        <w:t>n Rel-15, Type0</w:t>
      </w:r>
      <w:r>
        <w:rPr>
          <w:rFonts w:hint="default" w:eastAsia="Times New Roman"/>
          <w:lang w:val="en-US" w:eastAsia="zh-CN"/>
        </w:rPr>
        <w:t>,</w:t>
      </w:r>
      <w:r>
        <w:rPr>
          <w:lang w:val="en-US" w:eastAsia="zh-CN"/>
        </w:rPr>
        <w:t xml:space="preserve"> Type1 or dynamic switching between Type0/Type1</w:t>
      </w:r>
      <w:r>
        <w:rPr>
          <w:rFonts w:hint="default" w:eastAsia="Times New Roman"/>
          <w:lang w:val="en-US" w:eastAsia="zh-CN"/>
        </w:rPr>
        <w:t xml:space="preserve"> </w:t>
      </w:r>
      <w:r>
        <w:rPr>
          <w:lang w:val="en-US" w:eastAsia="zh-CN"/>
        </w:rPr>
        <w:t>is supported.</w:t>
      </w:r>
      <w:r>
        <w:rPr>
          <w:rFonts w:hint="default" w:eastAsia="Times New Roman"/>
          <w:lang w:val="en-US" w:eastAsia="zh-CN"/>
        </w:rPr>
        <w:t xml:space="preserve"> </w:t>
      </w:r>
      <w:r>
        <w:rPr>
          <w:rFonts w:hint="default"/>
          <w:lang w:val="en-US" w:eastAsia="zh-CN"/>
        </w:rPr>
        <w:t>In RAN1 #98</w:t>
      </w:r>
      <w:r>
        <w:rPr>
          <w:rFonts w:hint="eastAsia"/>
          <w:lang w:val="en-US" w:eastAsia="zh-CN"/>
        </w:rPr>
        <w:t>Bis meeting</w:t>
      </w:r>
      <w:r>
        <w:rPr>
          <w:rFonts w:hint="default"/>
          <w:lang w:val="en-US" w:eastAsia="zh-CN"/>
        </w:rPr>
        <w:t xml:space="preserve">, it was agreed to </w:t>
      </w:r>
      <w:r>
        <w:rPr>
          <w:lang w:val="en-US" w:eastAsia="zh-CN"/>
        </w:rPr>
        <w:t>support an RRC parameter to enable configurability between interlace resource allocation and Rel-15 (Type 0/1) resource allocation</w:t>
      </w:r>
      <w:r>
        <w:rPr>
          <w:rFonts w:hint="default" w:eastAsia="Times New Roman"/>
          <w:lang w:val="en-US" w:eastAsia="zh-CN"/>
        </w:rPr>
        <w:t xml:space="preserve">. And whether </w:t>
      </w:r>
      <w:r>
        <w:rPr>
          <w:lang w:val="en-US" w:eastAsia="zh-CN"/>
        </w:rPr>
        <w:t>this RRC configuration applies to fallback DCI</w:t>
      </w:r>
      <w:r>
        <w:rPr>
          <w:rFonts w:hint="default" w:eastAsia="Times New Roman"/>
          <w:lang w:val="en-US" w:eastAsia="zh-CN"/>
        </w:rPr>
        <w:t xml:space="preserve"> and </w:t>
      </w:r>
      <w:r>
        <w:rPr>
          <w:lang w:val="en-US" w:eastAsia="zh-CN"/>
        </w:rPr>
        <w:t>non-fallback DCI</w:t>
      </w:r>
      <w:r>
        <w:rPr>
          <w:rFonts w:hint="default" w:eastAsia="Times New Roman"/>
          <w:lang w:val="en-US" w:eastAsia="zh-CN"/>
        </w:rPr>
        <w:t xml:space="preserve"> is FFS. For interlace transmission of PUSCH, and for 30kHz SCS, </w:t>
      </w:r>
      <w:r>
        <w:rPr>
          <w:lang w:val="en-US" w:eastAsia="zh-CN"/>
        </w:rPr>
        <w:t xml:space="preserve">5-bit bitmap </w:t>
      </w:r>
      <w:r>
        <w:rPr>
          <w:rFonts w:hint="default" w:eastAsia="Times New Roman"/>
          <w:lang w:val="en-US" w:eastAsia="zh-CN"/>
        </w:rPr>
        <w:t xml:space="preserve">is agreed to be used </w:t>
      </w:r>
      <w:r>
        <w:rPr>
          <w:lang w:val="en-US" w:eastAsia="zh-CN"/>
        </w:rPr>
        <w:t>to indicate all possible interlace combinations</w:t>
      </w:r>
      <w:r>
        <w:rPr>
          <w:rFonts w:hint="default" w:eastAsia="Times New Roman"/>
          <w:lang w:val="en-US" w:eastAsia="zh-CN"/>
        </w:rPr>
        <w:t xml:space="preserve">. Although bitmap or RIV used for interlace allocation with 15kHz SCS is FFS, either of the two schemes can support interlace based resource allocation. Therefore, considering the practicability and specification complexity, there is no need to introduce interlaced resource allocation to fallback DCI or non-fallback DCI. For the similar reason, there is no need to introduce dynamic </w:t>
      </w:r>
      <w:r>
        <w:rPr>
          <w:lang w:val="en-US" w:eastAsia="zh-CN"/>
        </w:rPr>
        <w:t>switching between interlaced resource allocation and Rel-15 RA (Type0/1) resource allocation</w:t>
      </w:r>
    </w:p>
    <w:p>
      <w:pPr>
        <w:pStyle w:val="16"/>
      </w:pPr>
      <w:r>
        <w:rPr>
          <w:rFonts w:eastAsia="宋体"/>
          <w:b/>
          <w:lang w:eastAsia="zh-CN"/>
        </w:rPr>
        <w:t xml:space="preserve">Proposal </w:t>
      </w:r>
      <w:r>
        <w:rPr>
          <w:rFonts w:hint="eastAsia" w:eastAsia="宋体"/>
          <w:b/>
          <w:lang w:val="en-US" w:eastAsia="zh-CN"/>
        </w:rPr>
        <w:t>2</w:t>
      </w:r>
      <w:r>
        <w:rPr>
          <w:rFonts w:eastAsia="宋体"/>
          <w:b/>
          <w:lang w:eastAsia="zh-CN"/>
        </w:rPr>
        <w:t xml:space="preserve">: </w:t>
      </w:r>
      <w:r>
        <w:rPr>
          <w:rFonts w:hint="eastAsia" w:eastAsia="宋体"/>
          <w:i/>
          <w:iCs/>
          <w:lang w:val="en-US" w:eastAsia="zh-CN"/>
        </w:rPr>
        <w:t xml:space="preserve">For the case of PUSCH transmissions after dedicated configuration, support  RRC based configuration only. </w:t>
      </w:r>
    </w:p>
    <w:p>
      <w:pPr>
        <w:pStyle w:val="4"/>
        <w:tabs>
          <w:tab w:val="left" w:pos="450"/>
        </w:tabs>
        <w:spacing w:before="200" w:after="180" w:line="260" w:lineRule="auto"/>
        <w:ind w:left="567" w:hanging="567"/>
        <w:rPr>
          <w:rFonts w:cs="Times New Roman"/>
          <w:b/>
          <w:iCs w:val="0"/>
          <w:color w:val="000000"/>
          <w:sz w:val="21"/>
          <w:szCs w:val="21"/>
          <w:lang w:val="en-US" w:eastAsia="zh-CN"/>
        </w:rPr>
      </w:pPr>
      <w:r>
        <w:rPr>
          <w:rFonts w:hint="eastAsia" w:cs="Times New Roman"/>
          <w:b/>
          <w:iCs w:val="0"/>
          <w:color w:val="000000"/>
          <w:sz w:val="21"/>
          <w:szCs w:val="21"/>
          <w:lang w:val="en-US" w:eastAsia="zh-CN"/>
        </w:rPr>
        <w:t xml:space="preserve"> Multiple starting positions for scheduled PUSCH</w:t>
      </w:r>
    </w:p>
    <w:p>
      <w:pPr>
        <w:spacing w:before="120" w:after="120"/>
        <w:jc w:val="both"/>
        <w:rPr>
          <w:lang w:eastAsia="zh-CN"/>
        </w:rPr>
      </w:pPr>
      <w:r>
        <w:rPr>
          <w:lang w:eastAsia="zh-CN"/>
        </w:rPr>
        <w:t>The following options have been identified as possible candidate</w:t>
      </w:r>
      <w:r>
        <w:rPr>
          <w:rFonts w:hint="eastAsia"/>
          <w:lang w:val="en-US" w:eastAsia="zh-CN"/>
        </w:rPr>
        <w:t>s</w:t>
      </w:r>
      <w:r>
        <w:rPr>
          <w:lang w:eastAsia="zh-CN"/>
        </w:rPr>
        <w:t xml:space="preserve"> at least for the first PUSCH(s) transmitted in the UL transmission burst.</w:t>
      </w:r>
    </w:p>
    <w:p>
      <w:pPr>
        <w:numPr>
          <w:ilvl w:val="0"/>
          <w:numId w:val="21"/>
        </w:numPr>
        <w:spacing w:before="120" w:after="120"/>
        <w:jc w:val="both"/>
        <w:rPr>
          <w:lang w:eastAsia="zh-CN"/>
        </w:rPr>
      </w:pPr>
      <w:r>
        <w:rPr>
          <w:rFonts w:hint="eastAsia"/>
          <w:lang w:eastAsia="zh-CN"/>
        </w:rPr>
        <w:t>Option 1</w:t>
      </w:r>
      <w:r>
        <w:rPr>
          <w:lang w:eastAsia="zh-CN"/>
        </w:rPr>
        <w:t>: PUSCH(s) as in Rel-15 NR</w:t>
      </w:r>
    </w:p>
    <w:p>
      <w:pPr>
        <w:numPr>
          <w:ilvl w:val="0"/>
          <w:numId w:val="21"/>
        </w:numPr>
        <w:spacing w:before="120" w:after="120"/>
        <w:jc w:val="both"/>
        <w:rPr>
          <w:lang w:eastAsia="zh-CN"/>
        </w:rPr>
      </w:pPr>
      <w:r>
        <w:rPr>
          <w:lang w:eastAsia="zh-CN"/>
        </w:rPr>
        <w:t xml:space="preserve">Option 2: Multiple candidate starting positions in one or multiple slot(s) are allowed for PUSCH scheduled by a single UL grant (i.e., not a configured grant) and one of the multiple PUSCH starting positions can be chosen depending on LBT outcome. </w:t>
      </w:r>
    </w:p>
    <w:p>
      <w:pPr>
        <w:spacing w:before="120"/>
        <w:jc w:val="both"/>
        <w:rPr>
          <w:lang w:eastAsia="zh-CN"/>
        </w:rPr>
      </w:pPr>
      <w:r>
        <w:rPr>
          <w:lang w:eastAsia="zh-CN"/>
        </w:rPr>
        <w:t>Option 1 already supports certain level of flexible UL starting position within one slot. However, this option may result in more signaling overhead</w:t>
      </w:r>
      <w:r>
        <w:rPr>
          <w:lang w:val="en-US" w:eastAsia="zh-CN"/>
        </w:rPr>
        <w:t xml:space="preserve"> </w:t>
      </w:r>
      <w:r>
        <w:rPr>
          <w:rFonts w:hint="eastAsia"/>
          <w:lang w:val="en-US" w:eastAsia="zh-CN"/>
        </w:rPr>
        <w:t>if</w:t>
      </w:r>
      <w:r>
        <w:rPr>
          <w:lang w:val="en-US" w:eastAsia="zh-CN"/>
        </w:rPr>
        <w:t xml:space="preserve"> each min</w:t>
      </w:r>
      <w:r>
        <w:rPr>
          <w:rFonts w:hint="eastAsia"/>
          <w:lang w:val="en-US" w:eastAsia="zh-CN"/>
        </w:rPr>
        <w:t>i</w:t>
      </w:r>
      <w:r>
        <w:rPr>
          <w:lang w:val="en-US" w:eastAsia="zh-CN"/>
        </w:rPr>
        <w:t>-slot PUSCH scheduling need</w:t>
      </w:r>
      <w:r>
        <w:rPr>
          <w:rFonts w:hint="eastAsia"/>
          <w:lang w:val="en-US" w:eastAsia="zh-CN"/>
        </w:rPr>
        <w:t>s</w:t>
      </w:r>
      <w:r>
        <w:rPr>
          <w:lang w:val="en-US" w:eastAsia="zh-CN"/>
        </w:rPr>
        <w:t xml:space="preserve"> </w:t>
      </w:r>
      <w:r>
        <w:rPr>
          <w:rFonts w:hint="eastAsia"/>
          <w:lang w:val="en-US" w:eastAsia="zh-CN"/>
        </w:rPr>
        <w:t>a</w:t>
      </w:r>
      <w:r>
        <w:rPr>
          <w:lang w:val="en-US" w:eastAsia="zh-CN"/>
        </w:rPr>
        <w:t xml:space="preserve"> DCI as current specification</w:t>
      </w:r>
      <w:r>
        <w:rPr>
          <w:lang w:eastAsia="zh-CN"/>
        </w:rPr>
        <w:t xml:space="preserve">. </w:t>
      </w:r>
      <w:r>
        <w:rPr>
          <w:rFonts w:hint="eastAsia"/>
          <w:lang w:val="en-US" w:eastAsia="zh-CN"/>
        </w:rPr>
        <w:t xml:space="preserve">Besides, </w:t>
      </w:r>
      <w:r>
        <w:rPr>
          <w:lang w:val="en-US" w:eastAsia="zh-CN"/>
        </w:rPr>
        <w:t>splitting</w:t>
      </w:r>
      <w:r>
        <w:rPr>
          <w:lang w:eastAsia="zh-CN"/>
        </w:rPr>
        <w:t xml:space="preserve"> a slot-based PUSCH into multiple mini-slot-based PUSCHs </w:t>
      </w:r>
      <w:r>
        <w:rPr>
          <w:rFonts w:hint="eastAsia"/>
          <w:lang w:val="en-US" w:eastAsia="zh-CN"/>
        </w:rPr>
        <w:t>will result in</w:t>
      </w:r>
      <w:r>
        <w:rPr>
          <w:lang w:eastAsia="zh-CN"/>
        </w:rPr>
        <w:t xml:space="preserve"> </w:t>
      </w:r>
      <w:r>
        <w:rPr>
          <w:rFonts w:hint="eastAsia"/>
          <w:lang w:val="en-US" w:eastAsia="zh-CN"/>
        </w:rPr>
        <w:t xml:space="preserve">low </w:t>
      </w:r>
      <w:r>
        <w:rPr>
          <w:lang w:eastAsia="zh-CN"/>
        </w:rPr>
        <w:t>resource</w:t>
      </w:r>
      <w:r>
        <w:rPr>
          <w:rFonts w:hint="eastAsia"/>
          <w:lang w:val="en-US" w:eastAsia="zh-CN"/>
        </w:rPr>
        <w:t xml:space="preserve"> utilization</w:t>
      </w:r>
      <w:r>
        <w:rPr>
          <w:lang w:eastAsia="zh-CN"/>
        </w:rPr>
        <w:t xml:space="preserve"> because there will be more DMRS resources for these mini-slot-based PUSCHs</w:t>
      </w:r>
      <w:r>
        <w:rPr>
          <w:rFonts w:hint="eastAsia"/>
          <w:lang w:val="en-US" w:eastAsia="zh-CN"/>
        </w:rPr>
        <w:t xml:space="preserve"> and more </w:t>
      </w:r>
      <w:r>
        <w:rPr>
          <w:lang w:eastAsia="zh-CN"/>
        </w:rPr>
        <w:t>HARQ processes.</w:t>
      </w:r>
    </w:p>
    <w:p>
      <w:pPr>
        <w:spacing w:before="120" w:after="120"/>
        <w:jc w:val="both"/>
        <w:rPr>
          <w:rFonts w:eastAsia="等线"/>
          <w:lang w:eastAsia="zh-CN"/>
        </w:rPr>
      </w:pPr>
      <w:r>
        <w:rPr>
          <w:rFonts w:eastAsia="等线"/>
          <w:lang w:eastAsia="zh-CN"/>
        </w:rPr>
        <w:t xml:space="preserve">Option 2 can solve </w:t>
      </w:r>
      <w:r>
        <w:rPr>
          <w:rFonts w:hint="eastAsia" w:eastAsia="等线"/>
          <w:lang w:val="en-US" w:eastAsia="zh-CN"/>
        </w:rPr>
        <w:t>the above</w:t>
      </w:r>
      <w:r>
        <w:rPr>
          <w:rFonts w:eastAsia="等线"/>
          <w:lang w:eastAsia="zh-CN"/>
        </w:rPr>
        <w:t xml:space="preserve"> issue by </w:t>
      </w:r>
      <w:r>
        <w:rPr>
          <w:rFonts w:hint="eastAsia" w:eastAsia="等线"/>
          <w:lang w:val="en-US" w:eastAsia="zh-CN"/>
        </w:rPr>
        <w:t xml:space="preserve">using multi-TTI scheduling and/or </w:t>
      </w:r>
      <w:r>
        <w:rPr>
          <w:lang w:val="en-US" w:eastAsia="zh-CN"/>
        </w:rPr>
        <w:t>multiple</w:t>
      </w:r>
      <w:r>
        <w:rPr>
          <w:lang w:eastAsia="zh-CN"/>
        </w:rPr>
        <w:t xml:space="preserve"> candidate starting positions in one or multiple slot(s) are allowed for PUSCH</w:t>
      </w:r>
      <w:r>
        <w:rPr>
          <w:rFonts w:hint="eastAsia" w:eastAsia="等线"/>
          <w:lang w:val="en-US" w:eastAsia="zh-CN"/>
        </w:rPr>
        <w:t xml:space="preserve"> in one DCI, and UE can decide the transmission starting point based on CCA </w:t>
      </w:r>
      <w:r>
        <w:rPr>
          <w:rFonts w:eastAsia="等线"/>
          <w:lang w:val="en-US" w:eastAsia="zh-CN"/>
        </w:rPr>
        <w:t>outcome</w:t>
      </w:r>
      <w:r>
        <w:rPr>
          <w:rFonts w:eastAsia="等线"/>
          <w:lang w:eastAsia="zh-CN"/>
        </w:rPr>
        <w:t>.</w:t>
      </w:r>
      <w:r>
        <w:rPr>
          <w:rFonts w:hint="eastAsia" w:eastAsia="等线"/>
          <w:lang w:val="en-US" w:eastAsia="zh-CN"/>
        </w:rPr>
        <w:t xml:space="preserve"> Therefore, </w:t>
      </w:r>
      <w:r>
        <w:t xml:space="preserve">channel access </w:t>
      </w:r>
      <w:r>
        <w:rPr>
          <w:rFonts w:hint="eastAsia" w:eastAsia="宋体"/>
          <w:lang w:val="en-US" w:eastAsia="zh-CN"/>
        </w:rPr>
        <w:t xml:space="preserve">opportunities can be enhanced. </w:t>
      </w:r>
      <w:r>
        <w:rPr>
          <w:rFonts w:hint="eastAsia" w:eastAsia="等线"/>
          <w:lang w:val="en-US" w:eastAsia="zh-CN"/>
        </w:rPr>
        <w:t xml:space="preserve">Further, </w:t>
      </w:r>
      <w:r>
        <w:rPr>
          <w:lang w:val="en-US" w:eastAsia="zh-CN"/>
        </w:rPr>
        <w:t>multiple</w:t>
      </w:r>
      <w:r>
        <w:rPr>
          <w:lang w:eastAsia="zh-CN"/>
        </w:rPr>
        <w:t xml:space="preserve"> candidate </w:t>
      </w:r>
      <w:r>
        <w:rPr>
          <w:rFonts w:hint="eastAsia"/>
          <w:lang w:val="en-US" w:eastAsia="zh-CN"/>
        </w:rPr>
        <w:t>starting positions</w:t>
      </w:r>
      <w:r>
        <w:rPr>
          <w:lang w:eastAsia="zh-CN"/>
        </w:rPr>
        <w:t xml:space="preserve"> in one</w:t>
      </w:r>
      <w:r>
        <w:rPr>
          <w:rFonts w:hint="eastAsia"/>
          <w:lang w:val="en-US" w:eastAsia="zh-CN"/>
        </w:rPr>
        <w:t xml:space="preserve"> slot can be configured or indicated as illustrated in </w:t>
      </w:r>
      <w:r>
        <w:rPr>
          <w:lang w:val="en-US" w:eastAsia="zh-CN"/>
        </w:rPr>
        <w:t>F</w:t>
      </w:r>
      <w:r>
        <w:rPr>
          <w:rFonts w:hint="eastAsia"/>
          <w:lang w:val="en-US" w:eastAsia="zh-CN"/>
        </w:rPr>
        <w:t xml:space="preserve">igure 1. Comparing with </w:t>
      </w:r>
      <w:r>
        <w:rPr>
          <w:lang w:val="en-US" w:eastAsia="zh-CN"/>
        </w:rPr>
        <w:t>O</w:t>
      </w:r>
      <w:r>
        <w:rPr>
          <w:rFonts w:hint="eastAsia"/>
          <w:lang w:val="en-US" w:eastAsia="zh-CN"/>
        </w:rPr>
        <w:t>ption 1, the DCI overhead is relative</w:t>
      </w:r>
      <w:r>
        <w:rPr>
          <w:lang w:val="en-US" w:eastAsia="zh-CN"/>
        </w:rPr>
        <w:t>ly</w:t>
      </w:r>
      <w:r>
        <w:rPr>
          <w:rFonts w:hint="eastAsia"/>
          <w:lang w:val="en-US" w:eastAsia="zh-CN"/>
        </w:rPr>
        <w:t xml:space="preserve"> small. Besides, f</w:t>
      </w:r>
      <w:r>
        <w:rPr>
          <w:rFonts w:hint="eastAsia" w:eastAsia="MS Mincho"/>
          <w:lang w:val="en-US" w:eastAsia="zh-CN"/>
        </w:rPr>
        <w:t xml:space="preserve">or </w:t>
      </w:r>
      <w:r>
        <w:rPr>
          <w:rFonts w:eastAsia="MS Mincho"/>
          <w:lang w:val="en-US" w:eastAsia="zh-CN"/>
        </w:rPr>
        <w:t>O</w:t>
      </w:r>
      <w:r>
        <w:rPr>
          <w:rFonts w:hint="eastAsia" w:eastAsia="MS Mincho"/>
          <w:lang w:val="en-US" w:eastAsia="zh-CN"/>
        </w:rPr>
        <w:t>ption</w:t>
      </w:r>
      <w:r>
        <w:rPr>
          <w:rFonts w:eastAsia="MS Mincho"/>
          <w:lang w:val="en-US" w:eastAsia="zh-CN"/>
        </w:rPr>
        <w:t xml:space="preserve"> </w:t>
      </w:r>
      <w:r>
        <w:rPr>
          <w:rFonts w:hint="eastAsia" w:eastAsia="宋体"/>
          <w:lang w:val="en-US" w:eastAsia="zh-CN"/>
        </w:rPr>
        <w:t xml:space="preserve">2, symbol </w:t>
      </w:r>
      <w:r>
        <w:rPr>
          <w:rFonts w:eastAsia="宋体"/>
          <w:lang w:val="en-US" w:eastAsia="zh-CN"/>
        </w:rPr>
        <w:t>#</w:t>
      </w:r>
      <w:r>
        <w:rPr>
          <w:rFonts w:hint="eastAsia" w:eastAsia="宋体"/>
          <w:lang w:val="en-US" w:eastAsia="zh-CN"/>
        </w:rPr>
        <w:t>0,</w:t>
      </w:r>
      <w:r>
        <w:rPr>
          <w:rFonts w:eastAsia="宋体"/>
          <w:lang w:val="en-US" w:eastAsia="zh-CN"/>
        </w:rPr>
        <w:t xml:space="preserve"> #</w:t>
      </w:r>
      <w:r>
        <w:rPr>
          <w:rFonts w:hint="eastAsia" w:eastAsia="宋体"/>
          <w:lang w:val="en-US" w:eastAsia="zh-CN"/>
        </w:rPr>
        <w:t>1,</w:t>
      </w:r>
      <w:r>
        <w:rPr>
          <w:rFonts w:eastAsia="宋体"/>
          <w:lang w:val="en-US" w:eastAsia="zh-CN"/>
        </w:rPr>
        <w:t xml:space="preserve"> #</w:t>
      </w:r>
      <w:r>
        <w:rPr>
          <w:rFonts w:hint="eastAsia" w:eastAsia="宋体"/>
          <w:lang w:val="en-US" w:eastAsia="zh-CN"/>
        </w:rPr>
        <w:t>2,</w:t>
      </w:r>
      <w:r>
        <w:rPr>
          <w:rFonts w:eastAsia="宋体"/>
          <w:lang w:val="en-US" w:eastAsia="zh-CN"/>
        </w:rPr>
        <w:t xml:space="preserve"> #</w:t>
      </w:r>
      <w:r>
        <w:rPr>
          <w:rFonts w:hint="eastAsia" w:eastAsia="宋体"/>
          <w:lang w:val="en-US" w:eastAsia="zh-CN"/>
        </w:rPr>
        <w:t>3,</w:t>
      </w:r>
      <w:r>
        <w:rPr>
          <w:rFonts w:eastAsia="宋体"/>
          <w:lang w:val="en-US" w:eastAsia="zh-CN"/>
        </w:rPr>
        <w:t xml:space="preserve"> #</w:t>
      </w:r>
      <w:r>
        <w:rPr>
          <w:rFonts w:hint="eastAsia" w:eastAsia="宋体"/>
          <w:lang w:val="en-US" w:eastAsia="zh-CN"/>
        </w:rPr>
        <w:t>7,</w:t>
      </w:r>
      <w:r>
        <w:rPr>
          <w:rFonts w:eastAsia="宋体"/>
          <w:lang w:val="en-US" w:eastAsia="zh-CN"/>
        </w:rPr>
        <w:t xml:space="preserve"> #</w:t>
      </w:r>
      <w:r>
        <w:rPr>
          <w:rFonts w:hint="eastAsia" w:eastAsia="宋体"/>
          <w:lang w:val="en-US" w:eastAsia="zh-CN"/>
        </w:rPr>
        <w:t xml:space="preserve">10 can be considered as the PUSCH starting positions considering the DMRS position. Wherein, the UE only needs to prepare one PUSCH and </w:t>
      </w:r>
      <w:r>
        <w:t>punctures the P</w:t>
      </w:r>
      <w:r>
        <w:rPr>
          <w:rFonts w:hint="eastAsia" w:eastAsia="宋体"/>
          <w:lang w:val="en-US" w:eastAsia="zh-CN"/>
        </w:rPr>
        <w:t>U</w:t>
      </w:r>
      <w:r>
        <w:t>SCH symbols from the beginning</w:t>
      </w:r>
      <w:r>
        <w:rPr>
          <w:rFonts w:hint="eastAsia" w:eastAsia="宋体"/>
          <w:lang w:val="en-US" w:eastAsia="zh-CN"/>
        </w:rPr>
        <w:t xml:space="preserve"> of the slot based on the CCA </w:t>
      </w:r>
      <w:r>
        <w:rPr>
          <w:rFonts w:eastAsia="宋体"/>
          <w:lang w:val="en-US" w:eastAsia="zh-CN"/>
        </w:rPr>
        <w:t>outcome</w:t>
      </w:r>
      <w:r>
        <w:rPr>
          <w:rFonts w:hint="eastAsia" w:eastAsia="宋体"/>
          <w:lang w:val="en-US" w:eastAsia="zh-CN"/>
        </w:rPr>
        <w:t xml:space="preserve">. </w:t>
      </w:r>
      <w:r>
        <w:t>gNB</w:t>
      </w:r>
      <w:r>
        <w:rPr>
          <w:rFonts w:hint="eastAsia" w:eastAsia="宋体"/>
          <w:lang w:val="en-US" w:eastAsia="zh-CN"/>
        </w:rPr>
        <w:t xml:space="preserve"> </w:t>
      </w:r>
      <w:r>
        <w:rPr>
          <w:rFonts w:eastAsia="宋体"/>
          <w:lang w:val="en-US" w:eastAsia="zh-CN"/>
        </w:rPr>
        <w:t xml:space="preserve">would </w:t>
      </w:r>
      <w:r>
        <w:rPr>
          <w:rFonts w:hint="eastAsia" w:eastAsia="宋体"/>
          <w:lang w:val="en-US" w:eastAsia="zh-CN"/>
        </w:rPr>
        <w:t>detect</w:t>
      </w:r>
      <w:r>
        <w:rPr>
          <w:rFonts w:eastAsia="宋体"/>
          <w:lang w:val="en-US" w:eastAsia="zh-CN"/>
        </w:rPr>
        <w:t xml:space="preserve"> </w:t>
      </w:r>
      <w:r>
        <w:rPr>
          <w:rFonts w:hint="eastAsia" w:eastAsia="宋体"/>
          <w:lang w:val="en-US" w:eastAsia="zh-CN"/>
        </w:rPr>
        <w:t xml:space="preserve">the PUSCH by blind detection. </w:t>
      </w:r>
      <w:r>
        <w:rPr>
          <w:rFonts w:eastAsia="宋体"/>
          <w:lang w:val="en-US" w:eastAsia="zh-CN"/>
        </w:rPr>
        <w:t>T</w:t>
      </w:r>
      <w:r>
        <w:rPr>
          <w:rFonts w:hint="eastAsia" w:eastAsia="宋体"/>
          <w:lang w:val="en-US" w:eastAsia="zh-CN"/>
        </w:rPr>
        <w:t xml:space="preserve">he </w:t>
      </w:r>
      <w:r>
        <w:rPr>
          <w:lang w:eastAsia="zh-CN"/>
        </w:rPr>
        <w:t>symbol index</w:t>
      </w:r>
      <w:r>
        <w:rPr>
          <w:rFonts w:hint="eastAsia"/>
          <w:lang w:val="en-US" w:eastAsia="zh-CN"/>
        </w:rPr>
        <w:t xml:space="preserve"> of t</w:t>
      </w:r>
      <w:r>
        <w:rPr>
          <w:lang w:eastAsia="zh-CN"/>
        </w:rPr>
        <w:t xml:space="preserve">he scrambling sequence of DMRS </w:t>
      </w:r>
      <w:r>
        <w:rPr>
          <w:rFonts w:hint="eastAsia"/>
          <w:lang w:val="en-US" w:eastAsia="zh-CN"/>
        </w:rPr>
        <w:t>is fixed.</w:t>
      </w:r>
      <w:r>
        <w:rPr>
          <w:rFonts w:hint="eastAsia" w:eastAsia="等线"/>
          <w:lang w:eastAsia="zh-CN"/>
        </w:rPr>
        <w:tab/>
      </w:r>
    </w:p>
    <w:p>
      <w:pPr>
        <w:spacing w:before="120" w:after="120"/>
        <w:jc w:val="center"/>
        <w:rPr>
          <w:b/>
          <w:sz w:val="22"/>
          <w:szCs w:val="22"/>
        </w:rPr>
      </w:pPr>
      <w:bookmarkStart w:id="5" w:name="OLE_LINK9"/>
      <w:r>
        <w:rPr>
          <w:b/>
          <w:sz w:val="22"/>
          <w:szCs w:val="22"/>
        </w:rPr>
        <w:object>
          <v:shape id="_x0000_i1025" o:spt="75" type="#_x0000_t75" style="height:244.9pt;width:285.45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bookmarkEnd w:id="5"/>
    </w:p>
    <w:p>
      <w:pPr>
        <w:spacing w:before="120" w:after="120"/>
        <w:jc w:val="center"/>
        <w:rPr>
          <w:rFonts w:eastAsia="宋体"/>
          <w:lang w:val="en-US" w:eastAsia="zh-CN"/>
        </w:rPr>
      </w:pPr>
      <w:r>
        <w:rPr>
          <w:rFonts w:eastAsia="宋体"/>
          <w:lang w:eastAsia="zh-CN"/>
        </w:rPr>
        <w:t xml:space="preserve">Figure </w:t>
      </w:r>
      <w:r>
        <w:rPr>
          <w:rFonts w:hint="eastAsia" w:eastAsia="宋体"/>
          <w:lang w:val="en-US" w:eastAsia="zh-CN"/>
        </w:rPr>
        <w:t xml:space="preserve">1. </w:t>
      </w:r>
      <w:r>
        <w:rPr>
          <w:rFonts w:eastAsia="宋体"/>
          <w:lang w:val="en-US" w:eastAsia="zh-CN"/>
        </w:rPr>
        <w:t xml:space="preserve">An </w:t>
      </w:r>
      <w:r>
        <w:rPr>
          <w:rFonts w:hint="eastAsia" w:eastAsia="宋体"/>
          <w:lang w:val="en-US" w:eastAsia="zh-CN"/>
        </w:rPr>
        <w:t xml:space="preserve">example for </w:t>
      </w:r>
      <w:r>
        <w:rPr>
          <w:rFonts w:eastAsia="宋体"/>
          <w:lang w:val="en-US" w:eastAsia="zh-CN"/>
        </w:rPr>
        <w:t>multiple</w:t>
      </w:r>
      <w:r>
        <w:rPr>
          <w:rFonts w:hint="eastAsia" w:eastAsia="宋体"/>
          <w:lang w:val="en-US" w:eastAsia="zh-CN"/>
        </w:rPr>
        <w:t xml:space="preserve"> candidate starting positions in one or multiple slot(s)</w:t>
      </w:r>
    </w:p>
    <w:p>
      <w:pPr>
        <w:numPr>
          <w:ilvl w:val="-1"/>
          <w:numId w:val="0"/>
        </w:numPr>
        <w:ind w:left="0" w:firstLine="0"/>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w:t>
      </w:r>
      <w:r>
        <w:rPr>
          <w:rFonts w:hint="eastAsia" w:eastAsia="宋体"/>
          <w:b/>
          <w:lang w:val="en-US" w:eastAsia="zh-CN"/>
        </w:rPr>
        <w:t xml:space="preserve"> </w:t>
      </w:r>
      <w:r>
        <w:rPr>
          <w:rFonts w:eastAsia="宋体"/>
          <w:i/>
          <w:iCs/>
          <w:lang w:val="en-US" w:eastAsia="zh-CN"/>
        </w:rPr>
        <w:t>Multiple</w:t>
      </w:r>
      <w:r>
        <w:rPr>
          <w:rFonts w:eastAsia="MS Mincho"/>
          <w:i/>
          <w:iCs/>
          <w:lang w:eastAsia="ko-KR"/>
        </w:rPr>
        <w:t xml:space="preserve"> </w:t>
      </w:r>
      <w:r>
        <w:rPr>
          <w:rFonts w:hint="eastAsia" w:eastAsia="宋体"/>
          <w:i/>
          <w:iCs/>
          <w:lang w:val="en-US" w:eastAsia="zh-CN"/>
        </w:rPr>
        <w:t xml:space="preserve">candidate </w:t>
      </w:r>
      <w:r>
        <w:rPr>
          <w:rFonts w:eastAsia="MS Mincho"/>
          <w:i/>
          <w:iCs/>
          <w:lang w:eastAsia="ko-KR"/>
        </w:rPr>
        <w:t xml:space="preserve">PUSCH starting positions in a single UL grant </w:t>
      </w:r>
      <w:r>
        <w:rPr>
          <w:rFonts w:eastAsia="宋体"/>
          <w:i/>
          <w:iCs/>
          <w:lang w:val="en-US" w:eastAsia="zh-CN"/>
        </w:rPr>
        <w:t xml:space="preserve">can be </w:t>
      </w:r>
      <w:r>
        <w:rPr>
          <w:rFonts w:eastAsia="MS Mincho"/>
          <w:i/>
          <w:iCs/>
          <w:lang w:eastAsia="ko-KR"/>
        </w:rPr>
        <w:t>supported</w:t>
      </w:r>
      <w:r>
        <w:rPr>
          <w:rFonts w:hint="eastAsia" w:eastAsia="宋体"/>
          <w:i/>
          <w:iCs/>
          <w:lang w:val="en-US" w:eastAsia="zh-CN"/>
        </w:rPr>
        <w:t xml:space="preserve"> in one slot, such as symbol </w:t>
      </w:r>
      <w:r>
        <w:rPr>
          <w:rFonts w:eastAsia="宋体"/>
          <w:i/>
          <w:iCs/>
          <w:lang w:val="en-US" w:eastAsia="zh-CN"/>
        </w:rPr>
        <w:t>#</w:t>
      </w:r>
      <w:r>
        <w:rPr>
          <w:rFonts w:hint="eastAsia" w:eastAsia="宋体"/>
          <w:i/>
          <w:iCs/>
          <w:lang w:val="en-US" w:eastAsia="zh-CN"/>
        </w:rPr>
        <w:t>0,</w:t>
      </w:r>
      <w:r>
        <w:rPr>
          <w:rFonts w:eastAsia="宋体"/>
          <w:i/>
          <w:iCs/>
          <w:lang w:val="en-US" w:eastAsia="zh-CN"/>
        </w:rPr>
        <w:t xml:space="preserve"> #</w:t>
      </w:r>
      <w:r>
        <w:rPr>
          <w:rFonts w:hint="eastAsia" w:eastAsia="宋体"/>
          <w:i/>
          <w:iCs/>
          <w:lang w:val="en-US" w:eastAsia="zh-CN"/>
        </w:rPr>
        <w:t>1,</w:t>
      </w:r>
      <w:r>
        <w:rPr>
          <w:rFonts w:eastAsia="宋体"/>
          <w:i/>
          <w:iCs/>
          <w:lang w:val="en-US" w:eastAsia="zh-CN"/>
        </w:rPr>
        <w:t xml:space="preserve"> #</w:t>
      </w:r>
      <w:r>
        <w:rPr>
          <w:rFonts w:hint="eastAsia" w:eastAsia="宋体"/>
          <w:i/>
          <w:iCs/>
          <w:lang w:val="en-US" w:eastAsia="zh-CN"/>
        </w:rPr>
        <w:t>2,</w:t>
      </w:r>
      <w:r>
        <w:rPr>
          <w:rFonts w:eastAsia="宋体"/>
          <w:i/>
          <w:iCs/>
          <w:lang w:val="en-US" w:eastAsia="zh-CN"/>
        </w:rPr>
        <w:t xml:space="preserve"> #</w:t>
      </w:r>
      <w:r>
        <w:rPr>
          <w:rFonts w:hint="eastAsia" w:eastAsia="宋体"/>
          <w:i/>
          <w:iCs/>
          <w:lang w:val="en-US" w:eastAsia="zh-CN"/>
        </w:rPr>
        <w:t>3,</w:t>
      </w:r>
      <w:r>
        <w:rPr>
          <w:rFonts w:eastAsia="宋体"/>
          <w:i/>
          <w:iCs/>
          <w:lang w:val="en-US" w:eastAsia="zh-CN"/>
        </w:rPr>
        <w:t xml:space="preserve"> #</w:t>
      </w:r>
      <w:r>
        <w:rPr>
          <w:rFonts w:hint="eastAsia" w:eastAsia="宋体"/>
          <w:i/>
          <w:iCs/>
          <w:lang w:val="en-US" w:eastAsia="zh-CN"/>
        </w:rPr>
        <w:t>7,</w:t>
      </w:r>
      <w:r>
        <w:rPr>
          <w:rFonts w:eastAsia="宋体"/>
          <w:i/>
          <w:iCs/>
          <w:lang w:val="en-US" w:eastAsia="zh-CN"/>
        </w:rPr>
        <w:t xml:space="preserve"> #</w:t>
      </w:r>
      <w:r>
        <w:rPr>
          <w:rFonts w:hint="eastAsia" w:eastAsia="宋体"/>
          <w:i/>
          <w:iCs/>
          <w:lang w:val="en-US" w:eastAsia="zh-CN"/>
        </w:rPr>
        <w:t>10</w:t>
      </w:r>
      <w:r>
        <w:rPr>
          <w:rFonts w:eastAsia="宋体"/>
          <w:i/>
          <w:iCs/>
          <w:lang w:val="en-US" w:eastAsia="zh-CN"/>
        </w:rPr>
        <w:t xml:space="preserve">. </w:t>
      </w:r>
      <w:bookmarkStart w:id="6" w:name="OLE_LINK8"/>
    </w:p>
    <w:bookmarkEnd w:id="6"/>
    <w:p>
      <w:pPr>
        <w:pStyle w:val="3"/>
        <w:jc w:val="both"/>
        <w:rPr>
          <w:rFonts w:eastAsia="宋体" w:cs="Arial"/>
          <w:b/>
          <w:sz w:val="24"/>
          <w:szCs w:val="24"/>
          <w:lang w:val="en-US" w:eastAsia="zh-CN"/>
        </w:rPr>
      </w:pPr>
      <w:r>
        <w:rPr>
          <w:rFonts w:hint="eastAsia" w:eastAsia="宋体" w:cs="Arial"/>
          <w:b/>
          <w:sz w:val="24"/>
          <w:szCs w:val="24"/>
          <w:lang w:val="en-US" w:eastAsia="zh-CN"/>
        </w:rPr>
        <w:t xml:space="preserve"> PUCCH</w:t>
      </w:r>
    </w:p>
    <w:p>
      <w:pPr>
        <w:pStyle w:val="4"/>
        <w:tabs>
          <w:tab w:val="left" w:pos="450"/>
        </w:tabs>
        <w:spacing w:before="200" w:after="180" w:line="260" w:lineRule="auto"/>
        <w:ind w:left="567" w:hanging="567"/>
        <w:rPr>
          <w:rFonts w:hint="default" w:cs="Times New Roman"/>
          <w:b/>
          <w:color w:val="000000"/>
          <w:sz w:val="21"/>
          <w:szCs w:val="21"/>
          <w:lang w:val="en-US" w:eastAsia="zh-CN"/>
        </w:rPr>
      </w:pPr>
      <w:r>
        <w:rPr>
          <w:rFonts w:hint="eastAsia" w:cs="Times New Roman"/>
          <w:b/>
          <w:color w:val="000000"/>
          <w:sz w:val="21"/>
          <w:szCs w:val="21"/>
          <w:lang w:val="en-US" w:eastAsia="zh-CN"/>
        </w:rPr>
        <w:t xml:space="preserve"> Cyclic shift ordering for</w:t>
      </w:r>
      <w:r>
        <w:rPr>
          <w:rFonts w:cs="Times New Roman"/>
          <w:b/>
          <w:color w:val="000000"/>
          <w:sz w:val="21"/>
          <w:szCs w:val="21"/>
          <w:lang w:val="en-US" w:eastAsia="zh-CN"/>
        </w:rPr>
        <w:t xml:space="preserve"> PF0 and PF1</w:t>
      </w:r>
      <w:r>
        <w:rPr>
          <w:rFonts w:hint="default" w:eastAsia="Times New Roman" w:cs="Times New Roman"/>
          <w:b/>
          <w:color w:val="000000"/>
          <w:sz w:val="21"/>
          <w:szCs w:val="21"/>
          <w:lang w:val="en-US" w:eastAsia="zh-CN"/>
        </w:rPr>
        <w:t xml:space="preserve"> </w:t>
      </w:r>
    </w:p>
    <w:p>
      <w:pPr>
        <w:tabs>
          <w:tab w:val="center" w:pos="4702"/>
        </w:tabs>
        <w:jc w:val="both"/>
        <w:rPr>
          <w:rFonts w:hint="eastAsia"/>
          <w:sz w:val="20"/>
          <w:szCs w:val="20"/>
          <w:lang w:val="en-US" w:eastAsia="zh-CN"/>
        </w:rPr>
      </w:pPr>
      <w:r>
        <w:rPr>
          <w:rFonts w:hint="eastAsia" w:eastAsia="宋体"/>
          <w:sz w:val="20"/>
          <w:szCs w:val="20"/>
          <w:lang w:val="en-US" w:eastAsia="zh-CN"/>
        </w:rPr>
        <w:t xml:space="preserve">In RAN1 #98 meeting, for the enhancement of PUCCH format 0 and PUCCH format 1, Alt-1a: </w:t>
      </w:r>
      <w:r>
        <w:t xml:space="preserve">Cycling of cyclic shifts across PRBs </w:t>
      </w:r>
      <w:r>
        <w:rPr>
          <w:rFonts w:hint="eastAsia" w:eastAsia="宋体"/>
          <w:lang w:val="en-US" w:eastAsia="zh-CN"/>
        </w:rPr>
        <w:t xml:space="preserve">was supported, but the </w:t>
      </w:r>
      <w:r>
        <w:t>Cyclic shift ordering</w:t>
      </w:r>
      <w:r>
        <w:rPr>
          <w:rFonts w:hint="eastAsia" w:eastAsia="宋体"/>
          <w:lang w:val="en-US" w:eastAsia="zh-CN"/>
        </w:rPr>
        <w:t xml:space="preserve"> is FFS. In RAN1 #98Bis meeting, </w:t>
      </w:r>
      <w:r>
        <w:t xml:space="preserve">The step size </w:t>
      </w:r>
      <m:oMath>
        <m:r>
          <m:rPr>
            <m:sty m:val="p"/>
          </m:rPr>
          <w:rPr>
            <w:rFonts w:ascii="Cambria Math" w:hAnsi="Cambria Math" w:eastAsia="Times New Roman"/>
            <w:szCs w:val="20"/>
            <w:lang w:eastAsia="zh-CN"/>
          </w:rPr>
          <m:t>Δ</m:t>
        </m:r>
      </m:oMath>
      <w:r>
        <w:t xml:space="preserve"> is down-selected to one value amongst {1,</w:t>
      </w:r>
      <w:r>
        <w:rPr>
          <w:rFonts w:hint="eastAsia" w:eastAsia="宋体"/>
          <w:lang w:val="en-US" w:eastAsia="zh-CN"/>
        </w:rPr>
        <w:t xml:space="preserve"> </w:t>
      </w:r>
      <w:r>
        <w:t>5,</w:t>
      </w:r>
      <w:r>
        <w:rPr>
          <w:rFonts w:hint="eastAsia" w:eastAsia="宋体"/>
          <w:lang w:val="en-US" w:eastAsia="zh-CN"/>
        </w:rPr>
        <w:t xml:space="preserve"> </w:t>
      </w:r>
      <w:r>
        <w:t>7,</w:t>
      </w:r>
      <w:r>
        <w:rPr>
          <w:rFonts w:hint="eastAsia" w:eastAsia="宋体"/>
          <w:lang w:val="en-US" w:eastAsia="zh-CN"/>
        </w:rPr>
        <w:t xml:space="preserve"> </w:t>
      </w:r>
      <w:r>
        <w:t>11}</w:t>
      </w:r>
      <w:r>
        <w:rPr>
          <w:rFonts w:hint="eastAsia" w:eastAsia="宋体"/>
          <w:lang w:val="en-US" w:eastAsia="zh-CN"/>
        </w:rPr>
        <w:t>. In this section, we discuss different step sizes for 10/11 PRBs in one interlace.</w:t>
      </w:r>
    </w:p>
    <w:p>
      <w:pPr>
        <w:tabs>
          <w:tab w:val="center" w:pos="4702"/>
        </w:tabs>
        <w:jc w:val="both"/>
        <w:rPr>
          <w:rFonts w:hint="eastAsia" w:eastAsia="宋体"/>
          <w:lang w:val="en-US" w:eastAsia="zh-CN"/>
        </w:rPr>
      </w:pPr>
      <w:r>
        <w:rPr>
          <w:rFonts w:hint="eastAsia" w:eastAsia="宋体"/>
          <w:lang w:val="en-US" w:eastAsia="zh-CN"/>
        </w:rPr>
        <w:t xml:space="preserve">In our contribution [3] in RAN1 #98 meeting, for Alt-1a, we provide the optimum cyclic shift combinations for each base sequence in a table. In order to reduce the specification complexity, we can select one cyclic shift combinations from the optimum cyclic shift combinations for all the 30 base sequences. Here, </w:t>
      </w:r>
      <w:r>
        <w:rPr>
          <w:rFonts w:hint="default" w:eastAsia="宋体"/>
          <w:lang w:val="en-US" w:eastAsia="zh-CN"/>
        </w:rPr>
        <w:t>“</w:t>
      </w:r>
      <w:r>
        <w:rPr>
          <w:rFonts w:hint="eastAsia" w:eastAsia="宋体"/>
          <w:lang w:val="en-US" w:eastAsia="zh-CN"/>
        </w:rPr>
        <w:t>optimum</w:t>
      </w:r>
      <w:r>
        <w:rPr>
          <w:rFonts w:hint="default" w:eastAsia="宋体"/>
          <w:lang w:val="en-US" w:eastAsia="zh-CN"/>
        </w:rPr>
        <w:t>”</w:t>
      </w:r>
      <w:r>
        <w:rPr>
          <w:rFonts w:hint="eastAsia" w:eastAsia="宋体"/>
          <w:lang w:val="en-US" w:eastAsia="zh-CN"/>
        </w:rPr>
        <w:t xml:space="preserve"> denotes each base sequence using their own optimum cyclic shifts combinations. </w:t>
      </w:r>
    </w:p>
    <w:p>
      <w:pPr>
        <w:tabs>
          <w:tab w:val="center" w:pos="4702"/>
        </w:tabs>
        <w:jc w:val="both"/>
        <w:rPr>
          <w:rFonts w:hint="eastAsia" w:eastAsia="宋体"/>
          <w:lang w:val="en-US" w:eastAsia="zh-CN"/>
        </w:rPr>
      </w:pPr>
      <w:r>
        <w:rPr>
          <w:rFonts w:hint="eastAsia" w:eastAsia="宋体"/>
          <w:lang w:val="en-US" w:eastAsia="zh-CN"/>
        </w:rPr>
        <w:t xml:space="preserve">Besides, it is mentioned in the contribution of other company that for PF0 combining the order of the cyclic shifts with SR to increase the user multiplexing capability. </w:t>
      </w:r>
      <w:r>
        <w:rPr>
          <w:rFonts w:hint="eastAsia" w:eastAsia="宋体"/>
          <w:highlight w:val="none"/>
          <w:lang w:val="en-US" w:eastAsia="zh-CN"/>
        </w:rPr>
        <w:t>The essence of this scheme is using a long sequence with different combinations and permutations of cyclic shifts, but some cyclic shifts are the same for same PRBs. Although the CM of this scheme is acceptable, the sequences for different sates of HARQ and SR are not orthogonal. In other words, such</w:t>
      </w:r>
      <w:r>
        <w:rPr>
          <w:highlight w:val="none"/>
        </w:rPr>
        <w:t xml:space="preserve"> mechanism may create collisions when the user multiplexing capacity is increased</w:t>
      </w:r>
      <w:r>
        <w:rPr>
          <w:rFonts w:hint="eastAsia" w:eastAsia="宋体"/>
          <w:highlight w:val="none"/>
          <w:lang w:val="en-US" w:eastAsia="zh-CN"/>
        </w:rPr>
        <w:t xml:space="preserve">. </w:t>
      </w:r>
      <w:r>
        <w:rPr>
          <w:rFonts w:hint="eastAsia" w:eastAsia="宋体"/>
          <w:lang w:val="en-US" w:eastAsia="zh-CN"/>
        </w:rPr>
        <w:t xml:space="preserve">And </w:t>
      </w:r>
      <w:r>
        <w:rPr>
          <w:rFonts w:hint="eastAsia" w:eastAsia="宋体"/>
          <w:highlight w:val="none"/>
          <w:lang w:val="en-US" w:eastAsia="zh-CN"/>
        </w:rPr>
        <w:t>the cross correlation coefficient is high.</w:t>
      </w:r>
      <w:r>
        <w:rPr>
          <w:rFonts w:hint="eastAsia" w:eastAsia="宋体"/>
          <w:lang w:val="en-US" w:eastAsia="zh-CN"/>
        </w:rPr>
        <w:t xml:space="preserve"> Therefore, its the detection performance is not clear, and the MCL may be lower. Furthermore, the specification complexity of introducing SR to the cyclic shift and PRB index is increased comparing with the method of only adding PRB index to the cyclic shift for each PRB of one interlace.</w:t>
      </w:r>
    </w:p>
    <w:p>
      <w:pPr>
        <w:tabs>
          <w:tab w:val="center" w:pos="4702"/>
        </w:tabs>
        <w:jc w:val="both"/>
        <w:rPr>
          <w:rFonts w:hint="default" w:eastAsia="宋体"/>
          <w:lang w:val="en-US" w:eastAsia="zh-CN"/>
        </w:rPr>
      </w:pPr>
      <w:r>
        <w:rPr>
          <w:rFonts w:hint="eastAsia" w:eastAsia="宋体"/>
          <w:lang w:val="en-US" w:eastAsia="zh-CN"/>
        </w:rPr>
        <w:t xml:space="preserve">Based on the analysis above, the method of only adding PRB index to the cyclic shift for each PRB of one interlace should be supported. Furthermore, for the order of the cyclic shifts, we also provide a simulation result on the CM values for different cyclic shifts order and/or step sizes in Figure 2. It can be seen in Figure 2 that the CM values of different step sizes are close, and the largest distinction is about 0.1dB. For </w:t>
      </w:r>
      <w:r>
        <w:rPr>
          <w:rFonts w:hint="default" w:eastAsia="宋体"/>
          <w:lang w:val="en-US" w:eastAsia="zh-CN"/>
        </w:rPr>
        <w:t>“</w:t>
      </w:r>
      <w:r>
        <w:rPr>
          <w:rFonts w:hint="eastAsia" w:eastAsia="宋体"/>
          <w:lang w:val="en-US" w:eastAsia="zh-CN"/>
        </w:rPr>
        <w:t>optimum</w:t>
      </w:r>
      <w:r>
        <w:rPr>
          <w:rFonts w:hint="default" w:eastAsia="宋体"/>
          <w:lang w:val="en-US" w:eastAsia="zh-CN"/>
        </w:rPr>
        <w:t>”</w:t>
      </w:r>
      <w:r>
        <w:rPr>
          <w:rFonts w:hint="eastAsia" w:eastAsia="宋体"/>
          <w:lang w:val="en-US" w:eastAsia="zh-CN"/>
        </w:rPr>
        <w:t xml:space="preserve">, the complexity is a little high. The order of ascending (i.e, step size equals 1) and descending (i.e, step size equals 11) are almost the same, and the curves with step size 5 and 7 are almost overlap . And in the left of Figure 2, the black curve with optimum step size for each base sequence is also shown. It can be observed that for 10 PRBs in one interlace, the optimum scheme has the lowest CM values. Considering the performance and specification complexity, the order of descending and ascending can be considered. </w:t>
      </w:r>
    </w:p>
    <w:p>
      <w:pPr>
        <w:tabs>
          <w:tab w:val="center" w:pos="4702"/>
        </w:tabs>
        <w:jc w:val="both"/>
      </w:pPr>
      <w:r>
        <w:drawing>
          <wp:inline distT="0" distB="0" distL="114300" distR="114300">
            <wp:extent cx="2874010" cy="2164715"/>
            <wp:effectExtent l="0" t="0" r="2540" b="698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6"/>
                    <a:stretch>
                      <a:fillRect/>
                    </a:stretch>
                  </pic:blipFill>
                  <pic:spPr>
                    <a:xfrm>
                      <a:off x="0" y="0"/>
                      <a:ext cx="2874010" cy="2164715"/>
                    </a:xfrm>
                    <a:prstGeom prst="rect">
                      <a:avLst/>
                    </a:prstGeom>
                    <a:noFill/>
                    <a:ln w="9525">
                      <a:noFill/>
                    </a:ln>
                  </pic:spPr>
                </pic:pic>
              </a:graphicData>
            </a:graphic>
          </wp:inline>
        </w:drawing>
      </w:r>
      <w:r>
        <w:drawing>
          <wp:inline distT="0" distB="0" distL="114300" distR="114300">
            <wp:extent cx="2912745" cy="2168525"/>
            <wp:effectExtent l="0" t="0" r="1905" b="317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7"/>
                    <a:stretch>
                      <a:fillRect/>
                    </a:stretch>
                  </pic:blipFill>
                  <pic:spPr>
                    <a:xfrm>
                      <a:off x="0" y="0"/>
                      <a:ext cx="2912745" cy="2168525"/>
                    </a:xfrm>
                    <a:prstGeom prst="rect">
                      <a:avLst/>
                    </a:prstGeom>
                    <a:noFill/>
                    <a:ln w="9525">
                      <a:noFill/>
                    </a:ln>
                  </pic:spPr>
                </pic:pic>
              </a:graphicData>
            </a:graphic>
          </wp:inline>
        </w:drawing>
      </w:r>
    </w:p>
    <w:p>
      <w:pPr>
        <w:tabs>
          <w:tab w:val="center" w:pos="4702"/>
        </w:tabs>
        <w:jc w:val="center"/>
        <w:rPr>
          <w:rFonts w:hint="eastAsia" w:eastAsia="宋体"/>
          <w:lang w:val="en-US" w:eastAsia="zh-CN"/>
        </w:rPr>
      </w:pPr>
      <w:r>
        <w:rPr>
          <w:rFonts w:hint="eastAsia" w:eastAsia="宋体"/>
          <w:lang w:val="en-US" w:eastAsia="zh-CN"/>
        </w:rPr>
        <w:t>Figure 2. CM values for different step sizes</w:t>
      </w:r>
    </w:p>
    <w:p>
      <w:pPr>
        <w:jc w:val="both"/>
        <w:rPr>
          <w:rFonts w:hint="eastAsia" w:eastAsia="宋体"/>
          <w:i w:val="0"/>
          <w:iCs w:val="0"/>
          <w:lang w:val="en-US" w:eastAsia="zh-CN"/>
        </w:rPr>
      </w:pPr>
      <w:bookmarkStart w:id="7" w:name="OLE_LINK5"/>
      <w:r>
        <w:rPr>
          <w:rFonts w:eastAsia="宋体"/>
          <w:b/>
          <w:lang w:eastAsia="zh-CN"/>
        </w:rPr>
        <w:t xml:space="preserve">Proposal </w:t>
      </w:r>
      <w:r>
        <w:rPr>
          <w:rFonts w:hint="eastAsia" w:eastAsia="宋体"/>
          <w:b/>
          <w:lang w:val="en-US" w:eastAsia="zh-CN"/>
        </w:rPr>
        <w:t>4</w:t>
      </w:r>
      <w:r>
        <w:rPr>
          <w:rFonts w:eastAsia="宋体"/>
          <w:b/>
          <w:lang w:eastAsia="zh-CN"/>
        </w:rPr>
        <w:t xml:space="preserve">: </w:t>
      </w:r>
      <w:r>
        <w:rPr>
          <w:rFonts w:hint="eastAsia" w:eastAsia="宋体"/>
          <w:i/>
          <w:iCs/>
          <w:lang w:val="en-US" w:eastAsia="zh-CN"/>
        </w:rPr>
        <w:t xml:space="preserve">For cycling of </w:t>
      </w:r>
      <w:bookmarkEnd w:id="7"/>
      <w:r>
        <w:rPr>
          <w:rFonts w:hint="eastAsia" w:eastAsia="宋体"/>
          <w:i/>
          <w:iCs/>
          <w:lang w:val="en-US" w:eastAsia="zh-CN"/>
        </w:rPr>
        <w:t>cyclic shifts across PRBs of one interlace, the order of descending or ascending, i.e, step size of 1 or 11 can be considered considering the performance and specification complexity.</w:t>
      </w:r>
    </w:p>
    <w:p>
      <w:pPr>
        <w:pStyle w:val="4"/>
        <w:tabs>
          <w:tab w:val="left" w:pos="450"/>
        </w:tabs>
        <w:spacing w:before="200" w:after="180" w:line="260" w:lineRule="auto"/>
        <w:ind w:left="567" w:hanging="567"/>
        <w:rPr>
          <w:rFonts w:hint="eastAsia" w:cs="Times New Roman"/>
          <w:b/>
          <w:color w:val="000000"/>
          <w:sz w:val="21"/>
          <w:szCs w:val="21"/>
          <w:lang w:val="en-US" w:eastAsia="zh-CN"/>
        </w:rPr>
      </w:pPr>
      <w:r>
        <w:rPr>
          <w:rFonts w:hint="eastAsia" w:cs="Times New Roman"/>
          <w:b/>
          <w:color w:val="000000"/>
          <w:sz w:val="21"/>
          <w:szCs w:val="21"/>
          <w:lang w:val="en-US" w:eastAsia="zh-CN"/>
        </w:rPr>
        <w:t xml:space="preserve"> PUCCH bandwidth and structure</w:t>
      </w:r>
    </w:p>
    <w:p>
      <w:pPr>
        <w:pStyle w:val="16"/>
        <w:overflowPunct w:val="0"/>
        <w:autoSpaceDE w:val="0"/>
        <w:autoSpaceDN w:val="0"/>
        <w:adjustRightInd w:val="0"/>
        <w:spacing w:before="137" w:beforeLines="50" w:after="137" w:afterLines="50" w:line="260" w:lineRule="auto"/>
        <w:jc w:val="both"/>
        <w:textAlignment w:val="baseline"/>
        <w:rPr>
          <w:rFonts w:hint="eastAsia" w:eastAsia="宋体"/>
          <w:lang w:val="en-US" w:eastAsia="zh-CN"/>
        </w:rPr>
      </w:pPr>
      <w:r>
        <w:rPr>
          <w:rFonts w:hint="eastAsia" w:eastAsia="宋体"/>
          <w:lang w:val="en-US" w:eastAsia="zh-CN"/>
        </w:rPr>
        <w:t>In RAN1#98Bis meeting, an agreement on 2 interlaces was reached. But if the second interlace is configured, the indication for the second interlace is FFS. According to the agreement the first interlace will be an index within a BWP, and combining with the location of the indicated LBT bandwidth, the location of the first interlace can be determined. For simplicity, the second interlace can be configured to follow the first one.</w:t>
      </w:r>
    </w:p>
    <w:p>
      <w:pPr>
        <w:pStyle w:val="16"/>
        <w:overflowPunct w:val="0"/>
        <w:autoSpaceDE w:val="0"/>
        <w:autoSpaceDN w:val="0"/>
        <w:adjustRightInd w:val="0"/>
        <w:spacing w:before="137" w:beforeLines="50" w:after="137" w:afterLines="50" w:line="260" w:lineRule="auto"/>
        <w:jc w:val="both"/>
        <w:textAlignment w:val="baseline"/>
        <w:rPr>
          <w:rFonts w:hint="eastAsia" w:eastAsia="宋体"/>
          <w:lang w:val="en-US" w:eastAsia="zh-CN"/>
        </w:rPr>
      </w:pPr>
      <w:r>
        <w:rPr>
          <w:rFonts w:hint="eastAsia" w:eastAsia="宋体"/>
          <w:lang w:val="en-US" w:eastAsia="zh-CN"/>
        </w:rPr>
        <w:t xml:space="preserve">When two interlaces are configured, but there is a case that one interlace is needed according to the maximum code rate and UCI payload size. We should determine which interlace will be chosen. In NR rel-15, there is a similar problem for PUCCH format 2/3 resource allocation. When the number of PRBs determined by UE smaller than or equal to a  number of  PRBs </w:t>
      </w:r>
      <w:r>
        <w:rPr>
          <w:lang w:val="en-US"/>
        </w:rPr>
        <w:t>provided</w:t>
      </w:r>
      <w:r>
        <w:rPr>
          <w:rFonts w:hint="eastAsia" w:eastAsia="宋体"/>
          <w:lang w:val="en-US" w:eastAsia="zh-CN"/>
        </w:rPr>
        <w:t xml:space="preserve"> by the RRC parameters, then the actual PRBs used by UE will start from the first PRB from the number of PRBs. So the same way can be used to the case of interlace allocation, i.e when two interlaces are configured but one interlace is enough then choosing the first one.</w:t>
      </w:r>
    </w:p>
    <w:p>
      <w:pPr>
        <w:pStyle w:val="16"/>
        <w:overflowPunct w:val="0"/>
        <w:autoSpaceDE w:val="0"/>
        <w:autoSpaceDN w:val="0"/>
        <w:adjustRightInd w:val="0"/>
        <w:spacing w:before="137" w:beforeLines="50" w:after="137" w:afterLines="50" w:line="260" w:lineRule="auto"/>
        <w:jc w:val="both"/>
        <w:textAlignment w:val="baseline"/>
        <w:rPr>
          <w:rFonts w:hint="eastAsia" w:eastAsia="宋体"/>
          <w:lang w:val="en-US" w:eastAsia="zh-CN"/>
        </w:rPr>
      </w:pPr>
      <w:r>
        <w:rPr>
          <w:rFonts w:hint="eastAsia" w:eastAsia="宋体"/>
          <w:lang w:val="en-US" w:eastAsia="zh-CN"/>
        </w:rPr>
        <w:t>Another opening issue for the case when two interlaces configured is the spacing between 2 interlaces. It is  suggested to constraint the spacing to reduce the CM value, but the gain seems not significant. Therefore, maybe more simulations are needed to show its benefit. On the other hand, in order to reduce specification impact and save time,  the two interlaces is configured as adjacent interlace as possible.</w:t>
      </w:r>
    </w:p>
    <w:p>
      <w:pPr>
        <w:spacing w:before="137" w:beforeLines="50" w:after="137" w:afterLines="50" w:line="260" w:lineRule="auto"/>
        <w:jc w:val="both"/>
        <w:rPr>
          <w:rFonts w:hint="eastAsia" w:eastAsia="宋体"/>
          <w:lang w:val="en-US" w:eastAsia="zh-CN"/>
        </w:rPr>
      </w:pPr>
      <w:r>
        <w:rPr>
          <w:rFonts w:hint="eastAsia"/>
          <w:color w:val="auto"/>
          <w:lang w:val="en-US" w:eastAsia="zh-CN"/>
        </w:rPr>
        <w:t xml:space="preserve">For 20MHz </w:t>
      </w:r>
      <w:r>
        <w:t xml:space="preserve">carrier bandwidth, </w:t>
      </w:r>
      <w:r>
        <w:rPr>
          <w:rFonts w:hint="eastAsia" w:eastAsia="宋体"/>
          <w:lang w:val="en-US" w:eastAsia="zh-CN"/>
        </w:rPr>
        <w:t>in NR-U, considering the requirement of OCB, it would be better that BWP should be configured to be equal to the carrier bandwidth.</w:t>
      </w:r>
    </w:p>
    <w:p>
      <w:pPr>
        <w:pStyle w:val="16"/>
        <w:overflowPunct w:val="0"/>
        <w:autoSpaceDE w:val="0"/>
        <w:autoSpaceDN w:val="0"/>
        <w:adjustRightInd w:val="0"/>
        <w:spacing w:after="0" w:line="259" w:lineRule="auto"/>
        <w:jc w:val="both"/>
        <w:textAlignment w:val="baseline"/>
        <w:rPr>
          <w:rFonts w:hint="eastAsia" w:eastAsia="宋体"/>
          <w:i/>
          <w:iCs/>
          <w:lang w:val="en-US" w:eastAsia="zh-CN"/>
        </w:rPr>
      </w:pPr>
      <w:r>
        <w:rPr>
          <w:rFonts w:eastAsia="宋体"/>
          <w:b/>
          <w:lang w:eastAsia="zh-CN"/>
        </w:rPr>
        <w:t xml:space="preserve">Proposal </w:t>
      </w:r>
      <w:r>
        <w:rPr>
          <w:rFonts w:hint="eastAsia" w:eastAsia="宋体"/>
          <w:b/>
          <w:lang w:val="en-US" w:eastAsia="zh-CN"/>
        </w:rPr>
        <w:t>5</w:t>
      </w:r>
      <w:r>
        <w:rPr>
          <w:rFonts w:eastAsia="宋体"/>
          <w:b/>
          <w:lang w:eastAsia="zh-CN"/>
        </w:rPr>
        <w:t>:</w:t>
      </w:r>
      <w:r>
        <w:rPr>
          <w:rFonts w:hint="eastAsia" w:eastAsia="宋体"/>
          <w:b/>
          <w:lang w:val="en-US" w:eastAsia="zh-CN"/>
        </w:rPr>
        <w:t xml:space="preserve"> </w:t>
      </w:r>
      <w:r>
        <w:rPr>
          <w:rFonts w:hint="eastAsia" w:eastAsia="宋体"/>
          <w:i/>
          <w:iCs/>
          <w:lang w:val="en-US" w:eastAsia="zh-CN"/>
        </w:rPr>
        <w:t xml:space="preserve">When two interlaces are configured: </w:t>
      </w:r>
    </w:p>
    <w:p>
      <w:pPr>
        <w:pStyle w:val="16"/>
        <w:numPr>
          <w:ilvl w:val="0"/>
          <w:numId w:val="22"/>
        </w:numPr>
        <w:overflowPunct w:val="0"/>
        <w:autoSpaceDE w:val="0"/>
        <w:autoSpaceDN w:val="0"/>
        <w:adjustRightInd w:val="0"/>
        <w:spacing w:after="0" w:line="259" w:lineRule="auto"/>
        <w:ind w:left="420" w:hanging="420"/>
        <w:jc w:val="both"/>
        <w:textAlignment w:val="baseline"/>
        <w:rPr>
          <w:rFonts w:hint="eastAsia" w:eastAsia="宋体"/>
          <w:i/>
          <w:iCs/>
          <w:lang w:val="en-US" w:eastAsia="zh-CN"/>
        </w:rPr>
      </w:pPr>
      <w:r>
        <w:rPr>
          <w:rFonts w:hint="eastAsia" w:eastAsia="宋体"/>
          <w:i/>
          <w:iCs/>
          <w:lang w:val="en-US" w:eastAsia="zh-CN"/>
        </w:rPr>
        <w:t>The second interlace can be configured next to the first one for the sake of simplicity.</w:t>
      </w:r>
    </w:p>
    <w:p>
      <w:pPr>
        <w:pStyle w:val="16"/>
        <w:numPr>
          <w:ilvl w:val="0"/>
          <w:numId w:val="22"/>
        </w:numPr>
        <w:overflowPunct w:val="0"/>
        <w:autoSpaceDE w:val="0"/>
        <w:autoSpaceDN w:val="0"/>
        <w:adjustRightInd w:val="0"/>
        <w:spacing w:after="137" w:afterLines="50" w:line="260" w:lineRule="auto"/>
        <w:ind w:left="420" w:hanging="420"/>
        <w:jc w:val="both"/>
        <w:textAlignment w:val="baseline"/>
        <w:rPr>
          <w:rFonts w:hint="eastAsia" w:eastAsia="宋体"/>
          <w:lang w:val="en-US" w:eastAsia="zh-CN"/>
        </w:rPr>
      </w:pPr>
      <w:r>
        <w:rPr>
          <w:rFonts w:hint="eastAsia" w:eastAsia="宋体"/>
          <w:i/>
          <w:iCs/>
          <w:lang w:val="en-US" w:eastAsia="zh-CN"/>
        </w:rPr>
        <w:t>If only one of two interlaces is needed, the first interlace can be chosen, which is similar to the rule of PUCCH format 2/3 resource allocation.</w:t>
      </w:r>
    </w:p>
    <w:p>
      <w:pPr>
        <w:pStyle w:val="4"/>
        <w:tabs>
          <w:tab w:val="left" w:pos="450"/>
        </w:tabs>
        <w:spacing w:before="200" w:after="180" w:line="260" w:lineRule="auto"/>
        <w:ind w:left="567" w:hanging="567"/>
        <w:rPr>
          <w:rFonts w:hint="eastAsia" w:cs="Times New Roman"/>
          <w:b/>
          <w:color w:val="000000"/>
          <w:sz w:val="21"/>
          <w:szCs w:val="21"/>
          <w:lang w:val="en-US" w:eastAsia="zh-CN"/>
        </w:rPr>
      </w:pPr>
      <w:r>
        <w:rPr>
          <w:rFonts w:hint="eastAsia" w:cs="Times New Roman"/>
          <w:b/>
          <w:color w:val="000000"/>
          <w:sz w:val="21"/>
          <w:szCs w:val="21"/>
          <w:lang w:val="en-US" w:eastAsia="zh-CN"/>
        </w:rPr>
        <w:t xml:space="preserve"> User multiplexing for interlaced PF2 and PF3</w:t>
      </w:r>
    </w:p>
    <w:p>
      <w:pPr>
        <w:numPr>
          <w:ilvl w:val="-1"/>
          <w:numId w:val="0"/>
        </w:numPr>
        <w:ind w:left="0" w:firstLine="0"/>
        <w:jc w:val="both"/>
        <w:rPr>
          <w:rFonts w:hint="eastAsia" w:eastAsia="宋体"/>
          <w:i w:val="0"/>
          <w:iCs w:val="0"/>
          <w:sz w:val="20"/>
          <w:szCs w:val="22"/>
          <w:lang w:val="en-US" w:eastAsia="zh-CN"/>
        </w:rPr>
      </w:pPr>
      <w:r>
        <w:rPr>
          <w:rFonts w:hint="eastAsia" w:eastAsia="宋体"/>
          <w:i w:val="0"/>
          <w:iCs w:val="0"/>
          <w:sz w:val="20"/>
          <w:szCs w:val="22"/>
          <w:lang w:val="en-US" w:eastAsia="zh-CN"/>
        </w:rPr>
        <w:t>It was agreed in RAN1 #98Bis meeting that user multiplexing is allowed when one interlace is configured. In this section, we will discuss the remaining open issues.</w:t>
      </w:r>
    </w:p>
    <w:p>
      <w:pPr>
        <w:numPr>
          <w:ilvl w:val="-1"/>
          <w:numId w:val="0"/>
        </w:numPr>
        <w:ind w:left="0" w:firstLine="0"/>
        <w:jc w:val="both"/>
      </w:pPr>
      <w:r>
        <w:rPr>
          <w:rFonts w:hint="eastAsia" w:eastAsia="宋体"/>
          <w:i w:val="0"/>
          <w:iCs w:val="0"/>
          <w:sz w:val="20"/>
          <w:szCs w:val="22"/>
          <w:lang w:val="en-US" w:eastAsia="zh-CN"/>
        </w:rPr>
        <w:t xml:space="preserve">For PF2, </w:t>
      </w:r>
      <w:r>
        <w:t>User multiplexing is based on OCCs applied in at least the frequency domain to the UCI and reference signal REs separately</w:t>
      </w:r>
      <w:r>
        <w:rPr>
          <w:rFonts w:hint="eastAsia" w:eastAsia="宋体"/>
          <w:lang w:val="en-US" w:eastAsia="zh-CN"/>
        </w:rPr>
        <w:t>. And in RAN1 #98</w:t>
      </w:r>
      <w:r>
        <w:rPr>
          <w:rFonts w:hint="eastAsia" w:eastAsia="宋体"/>
          <w:i w:val="0"/>
          <w:iCs w:val="0"/>
          <w:sz w:val="20"/>
          <w:szCs w:val="22"/>
          <w:lang w:val="en-US" w:eastAsia="zh-CN"/>
        </w:rPr>
        <w:t>Bis meeting</w:t>
      </w:r>
      <w:r>
        <w:rPr>
          <w:rFonts w:hint="eastAsia" w:eastAsia="宋体"/>
          <w:lang w:val="en-US" w:eastAsia="zh-CN"/>
        </w:rPr>
        <w:t xml:space="preserve">, there are three </w:t>
      </w:r>
      <w:r>
        <w:t>alternatives using CM and MCL as criteria</w:t>
      </w:r>
      <w:r>
        <w:rPr>
          <w:rFonts w:hint="eastAsia" w:eastAsia="宋体"/>
          <w:lang w:val="en-US" w:eastAsia="zh-CN"/>
        </w:rPr>
        <w:t xml:space="preserve">: Alt1: </w:t>
      </w:r>
      <w:r>
        <w:t>OCC cycling across PRBs of an interlace</w:t>
      </w:r>
      <w:r>
        <w:rPr>
          <w:rFonts w:hint="eastAsia" w:eastAsia="宋体"/>
          <w:lang w:val="en-US" w:eastAsia="zh-CN"/>
        </w:rPr>
        <w:t xml:space="preserve">. Alt2: </w:t>
      </w:r>
      <w:r>
        <w:t>Scrambling</w:t>
      </w:r>
      <w:r>
        <w:rPr>
          <w:rFonts w:hint="eastAsia" w:eastAsia="宋体"/>
          <w:lang w:val="en-US" w:eastAsia="zh-CN"/>
        </w:rPr>
        <w:t xml:space="preserve">. Alt3: </w:t>
      </w:r>
      <w:r>
        <w:t>No CM/PAPR controlling mechanism</w:t>
      </w:r>
      <w:r>
        <w:rPr>
          <w:rFonts w:hint="eastAsia" w:eastAsia="宋体"/>
          <w:lang w:val="en-US" w:eastAsia="zh-CN"/>
        </w:rPr>
        <w:t xml:space="preserve">. If each UE is configured with one OCC, the CM/PAPR will be high. Therefore, the CM/PAPR should be controlled. We prefer Alt1: </w:t>
      </w:r>
      <w:r>
        <w:t>OCC cycling across PRBs of an interlace</w:t>
      </w:r>
      <w:r>
        <w:rPr>
          <w:rFonts w:hint="eastAsia" w:eastAsia="宋体"/>
          <w:lang w:val="en-US" w:eastAsia="zh-CN"/>
        </w:rPr>
        <w:t>.</w:t>
      </w:r>
    </w:p>
    <w:p>
      <w:pPr>
        <w:jc w:val="both"/>
        <w:rPr>
          <w:rFonts w:hint="eastAsia" w:eastAsia="宋体"/>
          <w:i w:val="0"/>
          <w:iCs w:val="0"/>
          <w:sz w:val="20"/>
          <w:szCs w:val="22"/>
          <w:lang w:val="en-US" w:eastAsia="zh-CN"/>
        </w:rPr>
      </w:pPr>
      <w:r>
        <w:rPr>
          <w:rFonts w:hint="eastAsia" w:eastAsia="宋体"/>
          <w:i w:val="0"/>
          <w:iCs w:val="0"/>
          <w:sz w:val="20"/>
          <w:szCs w:val="22"/>
          <w:lang w:val="en-US" w:eastAsia="zh-CN"/>
        </w:rPr>
        <w:t xml:space="preserve">For PF3, it has many similar characters to PF4, such as waveform, mapping pattern and so on. But in Rel-15 NR, block wise spreading is only supported by PF4 to multiplex up to 4 users. In NR-U, in order to improve resource usage, user multiplexing is agreed for PF3. Furthermore, the number of allowed user number is also agreed, i.e, 1, 2, and 4 users for all PF3 durations. Therefore, reusing the scheme of PF4 in Rel-15 is the most simple and feasible way. </w:t>
      </w:r>
    </w:p>
    <w:p>
      <w:pPr>
        <w:jc w:val="both"/>
        <w:rPr>
          <w:rFonts w:hint="eastAsia" w:eastAsia="宋体"/>
          <w:i w:val="0"/>
          <w:iCs w:val="0"/>
          <w:sz w:val="20"/>
          <w:szCs w:val="22"/>
          <w:lang w:val="en-US" w:eastAsia="zh-CN"/>
        </w:rPr>
      </w:pPr>
      <w:r>
        <w:rPr>
          <w:rFonts w:hint="eastAsia" w:eastAsia="宋体"/>
          <w:i w:val="0"/>
          <w:iCs w:val="0"/>
          <w:sz w:val="20"/>
          <w:szCs w:val="22"/>
          <w:lang w:val="en-US" w:eastAsia="zh-CN"/>
        </w:rPr>
        <w:t>For DMRS for PF3, ZC sequence is used, and 12 cyclic shifts to ensure the orthogonality of different users. So there is no enough reason to change the current DMRS signal for PF3. We can reuse the DMRS in Rel-15 NR over the configured interlace by extending the sequence length.</w:t>
      </w:r>
    </w:p>
    <w:p>
      <w:pPr>
        <w:jc w:val="both"/>
        <w:rPr>
          <w:rFonts w:hint="eastAsia" w:eastAsia="宋体"/>
          <w:i/>
          <w:iCs/>
          <w:sz w:val="20"/>
          <w:szCs w:val="22"/>
          <w:lang w:val="en-US" w:eastAsia="zh-CN"/>
        </w:rPr>
      </w:pPr>
      <w:r>
        <w:rPr>
          <w:rFonts w:eastAsia="宋体"/>
          <w:b/>
          <w:lang w:eastAsia="zh-CN"/>
        </w:rPr>
        <w:t xml:space="preserve">Proposal </w:t>
      </w:r>
      <w:r>
        <w:rPr>
          <w:rFonts w:hint="eastAsia" w:eastAsia="宋体"/>
          <w:b/>
          <w:lang w:val="en-US" w:eastAsia="zh-CN"/>
        </w:rPr>
        <w:t>6</w:t>
      </w:r>
      <w:r>
        <w:rPr>
          <w:rFonts w:eastAsia="宋体"/>
          <w:b/>
          <w:lang w:eastAsia="zh-CN"/>
        </w:rPr>
        <w:t xml:space="preserve">: </w:t>
      </w:r>
      <w:r>
        <w:rPr>
          <w:rFonts w:hint="eastAsia" w:eastAsia="宋体"/>
          <w:b w:val="0"/>
          <w:bCs/>
          <w:i/>
          <w:iCs/>
          <w:lang w:val="en-US" w:eastAsia="zh-CN"/>
        </w:rPr>
        <w:t xml:space="preserve">In order to improve resource usage, </w:t>
      </w:r>
      <w:r>
        <w:rPr>
          <w:rFonts w:hint="eastAsia" w:eastAsia="宋体"/>
          <w:bCs/>
          <w:i/>
          <w:iCs/>
          <w:sz w:val="20"/>
          <w:szCs w:val="22"/>
          <w:lang w:val="en-US" w:eastAsia="zh-CN"/>
        </w:rPr>
        <w:t>,</w:t>
      </w:r>
      <w:r>
        <w:rPr>
          <w:rFonts w:hint="eastAsia" w:eastAsia="宋体"/>
          <w:i/>
          <w:iCs/>
          <w:sz w:val="20"/>
          <w:szCs w:val="22"/>
          <w:lang w:val="en-US" w:eastAsia="zh-CN"/>
        </w:rPr>
        <w:t>the block wise spreading should be supported for enhanced PF3, which has been supported in Rel-15 NR PF4. and the DMRS for PF3 can use the similar way as that of Rel-15 NR PF4.</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w:t>
      </w:r>
      <w:r>
        <w:rPr>
          <w:rFonts w:eastAsia="宋体" w:cs="Arial"/>
          <w:b/>
          <w:sz w:val="24"/>
          <w:szCs w:val="24"/>
          <w:lang w:val="en-US" w:eastAsia="zh-CN"/>
        </w:rPr>
        <w:t>UL Interlace Design</w:t>
      </w:r>
    </w:p>
    <w:p>
      <w:pPr>
        <w:rPr>
          <w:rFonts w:hint="eastAsia" w:eastAsia="宋体"/>
          <w:i/>
          <w:iCs/>
          <w:lang w:val="en-US" w:eastAsia="zh-CN"/>
        </w:rPr>
      </w:pPr>
      <w:r>
        <w:rPr>
          <w:rFonts w:hint="default" w:cs="Arial"/>
          <w:b w:val="0"/>
          <w:bCs w:val="0"/>
          <w:iCs w:val="0"/>
          <w:sz w:val="20"/>
          <w:szCs w:val="20"/>
          <w:lang w:val="en-US" w:eastAsia="zh-CN"/>
        </w:rPr>
        <w:t>In this section, we discuss the opening issues about interlace structure.</w:t>
      </w:r>
      <w:r>
        <w:rPr>
          <w:rFonts w:hint="eastAsia" w:cs="Times New Roman"/>
          <w:b w:val="0"/>
          <w:bCs/>
          <w:iCs w:val="0"/>
          <w:color w:val="000000"/>
          <w:sz w:val="20"/>
          <w:szCs w:val="20"/>
          <w:lang w:val="en-US" w:eastAsia="zh-CN"/>
        </w:rPr>
        <w:t xml:space="preserve"> </w:t>
      </w:r>
    </w:p>
    <w:p>
      <w:pPr>
        <w:pStyle w:val="4"/>
        <w:rPr>
          <w:b/>
          <w:bCs/>
          <w:lang w:val="en-US" w:eastAsia="zh-CN"/>
        </w:rPr>
      </w:pPr>
      <w:r>
        <w:rPr>
          <w:rFonts w:hint="eastAsia"/>
          <w:b/>
          <w:bCs/>
          <w:lang w:val="en-US" w:eastAsia="zh-CN"/>
        </w:rPr>
        <w:t xml:space="preserve"> Partial Interlace </w:t>
      </w:r>
    </w:p>
    <w:p>
      <w:pPr>
        <w:pStyle w:val="16"/>
        <w:jc w:val="both"/>
        <w:rPr>
          <w:lang w:val="en-US" w:eastAsia="zh-CN"/>
        </w:rPr>
      </w:pPr>
      <w:r>
        <w:rPr>
          <w:rFonts w:hint="eastAsia"/>
          <w:lang w:val="en-US" w:eastAsia="zh-CN"/>
        </w:rPr>
        <w:t>It has confirmed the WA that s</w:t>
      </w:r>
      <w:r>
        <w:rPr>
          <w:lang w:eastAsia="zh-CN"/>
        </w:rPr>
        <w:t>ame spacing (M) between consecutive PRBs in an interlace for all interlaces regardless of carrier BW</w:t>
      </w:r>
      <w:r>
        <w:rPr>
          <w:rFonts w:hint="eastAsia"/>
          <w:lang w:val="en-US" w:eastAsia="zh-CN"/>
        </w:rPr>
        <w:t xml:space="preserve">. </w:t>
      </w:r>
      <w:r>
        <w:rPr>
          <w:rFonts w:hint="eastAsia" w:eastAsia="宋体" w:cs="Arial"/>
          <w:lang w:val="en-US" w:eastAsia="zh-CN"/>
        </w:rPr>
        <w:t xml:space="preserve">When a UE is configured with wideband BWP, such as 40MHz or 80MHz, there is a situation that </w:t>
      </w:r>
      <w:r>
        <w:rPr>
          <w:rFonts w:eastAsia="宋体"/>
          <w:lang w:eastAsia="zh-CN"/>
        </w:rPr>
        <w:t xml:space="preserve">some sub-bands may not be available depending on LBT outcome, </w:t>
      </w:r>
      <w:r>
        <w:rPr>
          <w:rFonts w:hint="eastAsia" w:eastAsia="宋体"/>
          <w:lang w:val="en-US" w:eastAsia="zh-CN"/>
        </w:rPr>
        <w:t xml:space="preserve"> and </w:t>
      </w:r>
      <w:r>
        <w:rPr>
          <w:rFonts w:eastAsia="宋体"/>
          <w:lang w:eastAsia="zh-CN"/>
        </w:rPr>
        <w:t>the PRBs in non-available sub-bands for this interlace can’t be used for transmission.</w:t>
      </w:r>
      <w:r>
        <w:rPr>
          <w:rFonts w:hint="eastAsia" w:eastAsia="宋体"/>
          <w:lang w:val="en-US" w:eastAsia="zh-CN"/>
        </w:rPr>
        <w:t xml:space="preserve"> </w:t>
      </w:r>
      <w:r>
        <w:rPr>
          <w:rFonts w:hint="eastAsia" w:eastAsia="宋体" w:cs="Arial"/>
          <w:lang w:val="en-US" w:eastAsia="zh-CN"/>
        </w:rPr>
        <w:t xml:space="preserve">Besides, it may also happen that </w:t>
      </w:r>
      <w:r>
        <w:rPr>
          <w:lang w:eastAsia="zh-CN"/>
        </w:rPr>
        <w:t xml:space="preserve">gNB schedule PUSCH of different UEs in the same interlace on different LBT bandwidth. </w:t>
      </w:r>
      <w:r>
        <w:rPr>
          <w:rFonts w:hint="eastAsia"/>
          <w:lang w:val="en-US" w:eastAsia="zh-CN"/>
        </w:rPr>
        <w:t xml:space="preserve">We </w:t>
      </w:r>
      <w:r>
        <w:t xml:space="preserve">refer to </w:t>
      </w:r>
      <w:r>
        <w:rPr>
          <w:rFonts w:hint="eastAsia"/>
          <w:lang w:val="en-US" w:eastAsia="zh-CN"/>
        </w:rPr>
        <w:t xml:space="preserve">these cases as </w:t>
      </w:r>
      <w:r>
        <w:rPr>
          <w:lang w:eastAsia="zh-CN"/>
        </w:rPr>
        <w:t>partial interlace allocation</w:t>
      </w:r>
      <w:r>
        <w:rPr>
          <w:rFonts w:hint="eastAsia"/>
          <w:lang w:val="en-US" w:eastAsia="zh-CN"/>
        </w:rPr>
        <w:t xml:space="preserve"> </w:t>
      </w:r>
      <w:r>
        <w:rPr>
          <w:lang w:eastAsia="zh-CN"/>
        </w:rPr>
        <w:t>and transmission</w:t>
      </w:r>
      <w:r>
        <w:rPr>
          <w:rFonts w:hint="eastAsia"/>
          <w:lang w:val="en-US" w:eastAsia="zh-CN"/>
        </w:rPr>
        <w:t>. And we can see b</w:t>
      </w:r>
      <w:r>
        <w:rPr>
          <w:lang w:val="en-US"/>
        </w:rPr>
        <w:t xml:space="preserve">y assigning partial interlace in this way, the UE multiplexing capacity </w:t>
      </w:r>
      <w:r>
        <w:rPr>
          <w:rFonts w:hint="eastAsia" w:eastAsia="宋体"/>
          <w:lang w:val="en-US" w:eastAsia="zh-CN"/>
        </w:rPr>
        <w:t xml:space="preserve">by </w:t>
      </w:r>
      <w:r>
        <w:rPr>
          <w:lang w:val="en-US"/>
        </w:rPr>
        <w:t>FDM</w:t>
      </w:r>
      <w:r>
        <w:rPr>
          <w:rFonts w:hint="eastAsia" w:eastAsia="宋体"/>
          <w:lang w:val="en-US" w:eastAsia="zh-CN"/>
        </w:rPr>
        <w:t xml:space="preserve"> can be improved and i</w:t>
      </w:r>
      <w:r>
        <w:rPr>
          <w:lang w:eastAsia="zh-CN"/>
        </w:rPr>
        <w:t xml:space="preserve">t is </w:t>
      </w:r>
      <w:r>
        <w:rPr>
          <w:rFonts w:hint="eastAsia"/>
          <w:lang w:val="en-US" w:eastAsia="zh-CN"/>
        </w:rPr>
        <w:t>beneficial</w:t>
      </w:r>
      <w:r>
        <w:rPr>
          <w:lang w:eastAsia="zh-CN"/>
        </w:rPr>
        <w:t xml:space="preserve"> for </w:t>
      </w:r>
      <w:r>
        <w:rPr>
          <w:rFonts w:hint="eastAsia" w:eastAsia="宋体"/>
          <w:lang w:val="en-US" w:eastAsia="zh-CN"/>
        </w:rPr>
        <w:t xml:space="preserve">improving the spectrum efficiency. </w:t>
      </w:r>
      <w:r>
        <w:rPr>
          <w:lang w:eastAsia="zh-CN"/>
        </w:rPr>
        <w:t xml:space="preserve">Therefore, partial interlace allocation and transmission </w:t>
      </w:r>
      <w:r>
        <w:rPr>
          <w:rFonts w:hint="eastAsia"/>
          <w:lang w:val="en-US" w:eastAsia="zh-CN"/>
        </w:rPr>
        <w:t xml:space="preserve">based on </w:t>
      </w:r>
      <w:r>
        <w:rPr>
          <w:lang w:eastAsia="zh-CN"/>
        </w:rPr>
        <w:t xml:space="preserve"> </w:t>
      </w:r>
      <w:r>
        <w:rPr>
          <w:rFonts w:eastAsia="宋体"/>
          <w:lang w:eastAsia="zh-CN"/>
        </w:rPr>
        <w:t>sub-bands</w:t>
      </w:r>
      <w:r>
        <w:rPr>
          <w:rFonts w:hint="eastAsia" w:eastAsia="宋体"/>
          <w:lang w:val="en-US" w:eastAsia="zh-CN"/>
        </w:rPr>
        <w:t xml:space="preserve"> </w:t>
      </w:r>
      <w:r>
        <w:rPr>
          <w:rFonts w:hint="eastAsia"/>
          <w:lang w:val="en-US" w:eastAsia="zh-CN"/>
        </w:rPr>
        <w:t>can</w:t>
      </w:r>
      <w:r>
        <w:rPr>
          <w:lang w:eastAsia="zh-CN"/>
        </w:rPr>
        <w:t xml:space="preserve"> be supported. </w:t>
      </w:r>
    </w:p>
    <w:p>
      <w:pPr>
        <w:pStyle w:val="131"/>
        <w:ind w:left="0"/>
        <w:jc w:val="both"/>
        <w:rPr>
          <w:color w:val="auto"/>
        </w:rPr>
      </w:pPr>
      <w:r>
        <w:rPr>
          <w:rFonts w:hint="eastAsia" w:eastAsia="宋体"/>
          <w:lang w:val="en-US" w:eastAsia="zh-CN"/>
        </w:rPr>
        <w:t xml:space="preserve">In order to support </w:t>
      </w:r>
      <w:r>
        <w:rPr>
          <w:lang w:eastAsia="zh-CN"/>
        </w:rPr>
        <w:t>partial interlace allocation</w:t>
      </w:r>
      <w:r>
        <w:rPr>
          <w:color w:val="FF0000"/>
          <w:lang w:eastAsia="zh-CN"/>
        </w:rPr>
        <w:t xml:space="preserve"> </w:t>
      </w:r>
      <w:r>
        <w:rPr>
          <w:color w:val="auto"/>
          <w:lang w:eastAsia="zh-CN"/>
        </w:rPr>
        <w:t>for PUSCH</w:t>
      </w:r>
      <w:r>
        <w:rPr>
          <w:color w:val="FF0000"/>
          <w:lang w:eastAsia="zh-CN"/>
        </w:rPr>
        <w:t xml:space="preserve"> </w:t>
      </w:r>
      <w:r>
        <w:rPr>
          <w:lang w:eastAsia="zh-CN"/>
        </w:rPr>
        <w:t>transmission</w:t>
      </w:r>
      <w:r>
        <w:rPr>
          <w:rFonts w:hint="eastAsia"/>
          <w:color w:val="auto"/>
          <w:lang w:val="en-US" w:eastAsia="zh-CN"/>
        </w:rPr>
        <w:t>, gNB can indicate the</w:t>
      </w:r>
      <w:r>
        <w:rPr>
          <w:color w:val="auto"/>
          <w:lang w:eastAsia="zh-CN"/>
        </w:rPr>
        <w:t xml:space="preserve"> </w:t>
      </w:r>
      <w:r>
        <w:rPr>
          <w:rFonts w:hint="eastAsia"/>
          <w:color w:val="auto"/>
          <w:lang w:val="en-US" w:eastAsia="zh-CN"/>
        </w:rPr>
        <w:t>allocated</w:t>
      </w:r>
      <w:r>
        <w:rPr>
          <w:rFonts w:hint="eastAsia" w:eastAsia="宋体"/>
          <w:color w:val="auto"/>
          <w:lang w:val="en-US" w:eastAsia="zh-CN"/>
        </w:rPr>
        <w:t xml:space="preserve"> </w:t>
      </w:r>
      <w:r>
        <w:rPr>
          <w:rFonts w:hint="eastAsia" w:eastAsia="宋体"/>
          <w:lang w:val="en-US" w:eastAsia="zh-CN"/>
        </w:rPr>
        <w:t>i</w:t>
      </w:r>
      <w:r>
        <w:t>nterlace</w:t>
      </w:r>
      <w:r>
        <w:rPr>
          <w:rFonts w:hint="eastAsia" w:eastAsia="宋体"/>
          <w:lang w:val="en-US" w:eastAsia="zh-CN"/>
        </w:rPr>
        <w:t>(s) and sub</w:t>
      </w:r>
      <w:r>
        <w:rPr>
          <w:rFonts w:eastAsia="宋体"/>
          <w:lang w:val="en-US" w:eastAsia="zh-CN"/>
        </w:rPr>
        <w:t>-</w:t>
      </w:r>
      <w:r>
        <w:rPr>
          <w:rFonts w:hint="eastAsia" w:eastAsia="宋体"/>
          <w:lang w:val="en-US" w:eastAsia="zh-CN"/>
        </w:rPr>
        <w:t xml:space="preserve">band(s) in the </w:t>
      </w:r>
      <w:r>
        <w:rPr>
          <w:rFonts w:hint="eastAsia"/>
          <w:lang w:val="en-US" w:eastAsia="zh-CN"/>
        </w:rPr>
        <w:t>f</w:t>
      </w:r>
      <w:r>
        <w:rPr>
          <w:rFonts w:hint="eastAsia"/>
          <w:lang w:eastAsia="zh-CN"/>
        </w:rPr>
        <w:t>requency domain resource assignment</w:t>
      </w:r>
      <w:r>
        <w:rPr>
          <w:rFonts w:hint="eastAsia"/>
          <w:lang w:val="en-US" w:eastAsia="zh-CN"/>
        </w:rPr>
        <w:t xml:space="preserve"> domain</w:t>
      </w:r>
      <w:r>
        <w:rPr>
          <w:rFonts w:hint="eastAsia" w:eastAsia="宋体"/>
          <w:lang w:val="en-US" w:eastAsia="zh-CN"/>
        </w:rPr>
        <w:t xml:space="preserve">. </w:t>
      </w:r>
      <w:r>
        <w:rPr>
          <w:rFonts w:hint="eastAsia"/>
          <w:lang w:val="en-US" w:eastAsia="zh-CN"/>
        </w:rPr>
        <w:t xml:space="preserve">And for the </w:t>
      </w:r>
      <w:r>
        <w:rPr>
          <w:rFonts w:hint="eastAsia" w:eastAsia="宋体"/>
          <w:lang w:val="en-US" w:eastAsia="zh-CN"/>
        </w:rPr>
        <w:t>i</w:t>
      </w:r>
      <w:r>
        <w:t>nterlace</w:t>
      </w:r>
      <w:r>
        <w:rPr>
          <w:rFonts w:hint="eastAsia" w:eastAsia="宋体"/>
          <w:lang w:val="en-US" w:eastAsia="zh-CN"/>
        </w:rPr>
        <w:t xml:space="preserve">(s) </w:t>
      </w:r>
      <w:r>
        <w:rPr>
          <w:rFonts w:hint="eastAsia"/>
          <w:lang w:val="en-US" w:eastAsia="zh-CN"/>
        </w:rPr>
        <w:t>allocation, the detailed discussion can be seen in 2.2.2 section, and the same method can be used for sub-band(s) allocation. W</w:t>
      </w:r>
      <w:r>
        <w:t xml:space="preserve">ith the help of </w:t>
      </w:r>
      <w:r>
        <w:rPr>
          <w:rFonts w:hint="eastAsia"/>
          <w:lang w:val="en-US" w:eastAsia="zh-CN"/>
        </w:rPr>
        <w:t xml:space="preserve">the </w:t>
      </w:r>
      <w:r>
        <w:rPr>
          <w:rFonts w:hint="eastAsia" w:eastAsia="宋体"/>
          <w:lang w:val="en-US" w:eastAsia="zh-CN"/>
        </w:rPr>
        <w:t>allocated i</w:t>
      </w:r>
      <w:r>
        <w:t>nterlace</w:t>
      </w:r>
      <w:r>
        <w:rPr>
          <w:rFonts w:hint="eastAsia"/>
          <w:lang w:val="en-US" w:eastAsia="zh-CN"/>
        </w:rPr>
        <w:t>(s)</w:t>
      </w:r>
      <w:r>
        <w:rPr>
          <w:rFonts w:hint="eastAsia" w:eastAsia="宋体"/>
          <w:lang w:val="en-US" w:eastAsia="zh-CN"/>
        </w:rPr>
        <w:t xml:space="preserve"> and </w:t>
      </w:r>
      <w:r>
        <w:t>sub-band</w:t>
      </w:r>
      <w:r>
        <w:rPr>
          <w:rFonts w:hint="eastAsia"/>
          <w:lang w:val="en-US" w:eastAsia="zh-CN"/>
        </w:rPr>
        <w:t xml:space="preserve">(s) </w:t>
      </w:r>
      <w:r>
        <w:t>information, UE could determine the partial interlace allocations</w:t>
      </w:r>
      <w:r>
        <w:rPr>
          <w:rFonts w:hint="eastAsia"/>
          <w:lang w:val="en-US" w:eastAsia="zh-CN"/>
        </w:rPr>
        <w:t xml:space="preserve"> and know </w:t>
      </w:r>
      <w:r>
        <w:t xml:space="preserve">which PRB(s) in </w:t>
      </w:r>
      <w:r>
        <w:rPr>
          <w:rFonts w:hint="eastAsia"/>
          <w:lang w:val="en-US" w:eastAsia="zh-CN"/>
        </w:rPr>
        <w:t>the allocated</w:t>
      </w:r>
      <w:r>
        <w:t xml:space="preserve"> interlace</w:t>
      </w:r>
      <w:r>
        <w:rPr>
          <w:rFonts w:hint="eastAsia"/>
          <w:lang w:val="en-US" w:eastAsia="zh-CN"/>
        </w:rPr>
        <w:t>(s)</w:t>
      </w:r>
      <w:r>
        <w:t xml:space="preserve"> are</w:t>
      </w:r>
      <w:r>
        <w:rPr>
          <w:rFonts w:hint="eastAsia"/>
          <w:lang w:val="en-US" w:eastAsia="zh-CN"/>
        </w:rPr>
        <w:t xml:space="preserve"> schedul</w:t>
      </w:r>
      <w:r>
        <w:t>ed.</w:t>
      </w:r>
      <w:r>
        <w:rPr>
          <w:rFonts w:hint="eastAsia"/>
          <w:lang w:val="en-US" w:eastAsia="zh-CN"/>
        </w:rPr>
        <w:t xml:space="preserve"> Besides, for the case of UE occupying </w:t>
      </w:r>
      <w:r>
        <w:t>partial</w:t>
      </w:r>
      <w:r>
        <w:rPr>
          <w:rFonts w:hint="eastAsia"/>
          <w:lang w:val="en-US" w:eastAsia="zh-CN"/>
        </w:rPr>
        <w:t xml:space="preserve"> RB(s) of one </w:t>
      </w:r>
      <w:r>
        <w:rPr>
          <w:rFonts w:hint="eastAsia" w:eastAsia="宋体"/>
          <w:lang w:val="en-US" w:eastAsia="zh-CN"/>
        </w:rPr>
        <w:t>i</w:t>
      </w:r>
      <w:r>
        <w:t>nterlace</w:t>
      </w:r>
      <w:r>
        <w:rPr>
          <w:rFonts w:hint="eastAsia"/>
          <w:lang w:val="en-US" w:eastAsia="zh-CN"/>
        </w:rPr>
        <w:t xml:space="preserve"> in a BWP or sub-band, gNB can give the starting PRB index or the offset value of the first PRB of the BWP and the PRB number indication. And through this method, </w:t>
      </w:r>
      <w:r>
        <w:rPr>
          <w:rFonts w:hint="eastAsia" w:eastAsia="宋体"/>
          <w:lang w:val="en-US" w:eastAsia="zh-CN"/>
        </w:rPr>
        <w:t xml:space="preserve"> </w:t>
      </w:r>
      <w:r>
        <w:rPr>
          <w:lang w:eastAsia="zh-CN"/>
        </w:rPr>
        <w:t>partial interlace allocation</w:t>
      </w:r>
      <w:r>
        <w:rPr>
          <w:color w:val="FF0000"/>
          <w:lang w:eastAsia="zh-CN"/>
        </w:rPr>
        <w:t xml:space="preserve"> </w:t>
      </w:r>
      <w:r>
        <w:rPr>
          <w:rFonts w:hint="eastAsia"/>
          <w:color w:val="auto"/>
          <w:lang w:val="en-US" w:eastAsia="zh-CN"/>
        </w:rPr>
        <w:t>can also be reached.</w:t>
      </w:r>
    </w:p>
    <w:p>
      <w:pPr>
        <w:tabs>
          <w:tab w:val="center" w:pos="4702"/>
        </w:tabs>
        <w:jc w:val="both"/>
        <w:rPr>
          <w:rFonts w:hint="eastAsia"/>
          <w:lang w:val="en-US" w:eastAsia="zh-CN"/>
        </w:rPr>
      </w:pPr>
      <w:r>
        <w:rPr>
          <w:rFonts w:hint="eastAsia" w:eastAsia="宋体" w:cs="Arial"/>
          <w:lang w:val="en-US" w:eastAsia="zh-CN"/>
        </w:rPr>
        <w:t xml:space="preserve">For PUCCH, it has reached the agreement that a bandwidth occupied by a PUCCH resource does not exceed the bandwidth corresponding to a 20 MHz carrier/LBT bandwidth. And exploiting the partial interlace, gNB can allocate different </w:t>
      </w:r>
      <w:r>
        <w:t>sub-bands</w:t>
      </w:r>
      <w:r>
        <w:rPr>
          <w:rFonts w:hint="eastAsia" w:eastAsia="宋体"/>
          <w:lang w:val="en-US" w:eastAsia="zh-CN"/>
        </w:rPr>
        <w:t xml:space="preserve"> of the same </w:t>
      </w:r>
      <w:r>
        <w:t>interlace</w:t>
      </w:r>
      <w:r>
        <w:rPr>
          <w:rFonts w:hint="eastAsia" w:eastAsia="宋体"/>
          <w:lang w:val="en-US" w:eastAsia="zh-CN"/>
        </w:rPr>
        <w:t xml:space="preserve"> index to different UEs for FDM multiplexing. </w:t>
      </w:r>
      <w:r>
        <w:rPr>
          <w:rFonts w:hint="eastAsia" w:eastAsia="宋体" w:cs="Arial"/>
          <w:lang w:val="en-US" w:eastAsia="zh-CN"/>
        </w:rPr>
        <w:t xml:space="preserve">Therefore, </w:t>
      </w:r>
      <w:r>
        <w:t>partial interlace allocation</w:t>
      </w:r>
      <w:r>
        <w:rPr>
          <w:rFonts w:hint="eastAsia" w:eastAsia="宋体"/>
          <w:lang w:val="en-US" w:eastAsia="zh-CN"/>
        </w:rPr>
        <w:t xml:space="preserve"> should also be supported for PUCCH. And the allocation method as PUSCH can be reused.</w:t>
      </w:r>
    </w:p>
    <w:p>
      <w:pPr>
        <w:tabs>
          <w:tab w:val="center" w:pos="4702"/>
        </w:tabs>
        <w:jc w:val="both"/>
        <w:rPr>
          <w:rFonts w:hint="eastAsia"/>
          <w:lang w:eastAsia="zh-CN"/>
        </w:rPr>
      </w:pPr>
      <w:r>
        <w:fldChar w:fldCharType="begin"/>
      </w:r>
      <w:r>
        <w:instrText xml:space="preserve"> REF _Ref3916263 \h </w:instrText>
      </w:r>
      <w:r>
        <w:fldChar w:fldCharType="separate"/>
      </w:r>
      <w:r>
        <w:t xml:space="preserve">Figure </w:t>
      </w:r>
      <w:r>
        <w:fldChar w:fldCharType="end"/>
      </w:r>
      <w:r>
        <w:rPr>
          <w:rFonts w:hint="eastAsia" w:eastAsia="宋体"/>
          <w:lang w:val="en-US" w:eastAsia="zh-CN"/>
        </w:rPr>
        <w:t>3</w:t>
      </w:r>
      <w:r>
        <w:t xml:space="preserve"> shows an example of a carrier consisting of </w:t>
      </w:r>
      <w:r>
        <w:rPr>
          <w:rFonts w:hint="eastAsia" w:eastAsia="宋体"/>
          <w:lang w:val="en-US" w:eastAsia="zh-CN"/>
        </w:rPr>
        <w:t>4</w:t>
      </w:r>
      <w:r>
        <w:t xml:space="preserve"> sub-bands</w:t>
      </w:r>
      <w:r>
        <w:rPr>
          <w:rFonts w:hint="eastAsia" w:eastAsia="宋体"/>
          <w:lang w:val="en-US" w:eastAsia="zh-CN"/>
        </w:rPr>
        <w:t>. And UE1 is allocated in sub-band</w:t>
      </w:r>
      <w:r>
        <w:t xml:space="preserve"> </w:t>
      </w:r>
      <w:r>
        <w:rPr>
          <w:rFonts w:hint="eastAsia" w:eastAsia="宋体"/>
          <w:lang w:val="en-US" w:eastAsia="zh-CN"/>
        </w:rPr>
        <w:t xml:space="preserve">1 for PUSCH/PUCCH transmission in </w:t>
      </w:r>
      <w:r>
        <w:t>interlace</w:t>
      </w:r>
      <w:r>
        <w:rPr>
          <w:rFonts w:hint="eastAsia" w:eastAsia="宋体"/>
          <w:lang w:val="en-US" w:eastAsia="zh-CN"/>
        </w:rPr>
        <w:t xml:space="preserve"> #1. And UE2 is allocated in sub-band</w:t>
      </w:r>
      <w:r>
        <w:t xml:space="preserve"> </w:t>
      </w:r>
      <w:r>
        <w:rPr>
          <w:rFonts w:hint="eastAsia" w:eastAsia="宋体"/>
          <w:lang w:val="en-US" w:eastAsia="zh-CN"/>
        </w:rPr>
        <w:t xml:space="preserve">2 and 3 for PUSCH transmission in the same </w:t>
      </w:r>
      <w:r>
        <w:t>interlace</w:t>
      </w:r>
      <w:r>
        <w:rPr>
          <w:rFonts w:hint="eastAsia" w:eastAsia="宋体"/>
          <w:lang w:val="en-US" w:eastAsia="zh-CN"/>
        </w:rPr>
        <w:t xml:space="preserve"> #1. And UE3 is allocated in sub-band</w:t>
      </w:r>
      <w:r>
        <w:t xml:space="preserve"> </w:t>
      </w:r>
      <w:r>
        <w:rPr>
          <w:rFonts w:hint="eastAsia" w:eastAsia="宋体"/>
          <w:lang w:val="en-US" w:eastAsia="zh-CN"/>
        </w:rPr>
        <w:t xml:space="preserve">4 for PUSCH/PUCCH transmission in the same </w:t>
      </w:r>
      <w:r>
        <w:t>interlace</w:t>
      </w:r>
      <w:r>
        <w:rPr>
          <w:rFonts w:hint="eastAsia" w:eastAsia="宋体"/>
          <w:lang w:val="en-US" w:eastAsia="zh-CN"/>
        </w:rPr>
        <w:t xml:space="preserve"> #1. And </w:t>
      </w:r>
      <w:r>
        <w:t xml:space="preserve">within </w:t>
      </w:r>
      <w:r>
        <w:rPr>
          <w:rFonts w:hint="eastAsia" w:eastAsia="宋体"/>
          <w:lang w:val="en-US" w:eastAsia="zh-CN"/>
        </w:rPr>
        <w:t>the assigned</w:t>
      </w:r>
      <w:r>
        <w:t xml:space="preserve"> sub-band</w:t>
      </w:r>
      <w:r>
        <w:rPr>
          <w:rFonts w:hint="eastAsia" w:eastAsia="宋体"/>
          <w:lang w:val="en-US" w:eastAsia="zh-CN"/>
        </w:rPr>
        <w:t>,</w:t>
      </w:r>
      <w:r>
        <w:t xml:space="preserve"> a UE uses all the PRBs of th</w:t>
      </w:r>
      <w:r>
        <w:rPr>
          <w:rFonts w:hint="eastAsia" w:eastAsia="宋体"/>
          <w:lang w:val="en-US" w:eastAsia="zh-CN"/>
        </w:rPr>
        <w:t>is</w:t>
      </w:r>
      <w:r>
        <w:t xml:space="preserve"> interlace</w:t>
      </w:r>
      <w:r>
        <w:rPr>
          <w:rFonts w:hint="eastAsia" w:eastAsia="宋体"/>
          <w:lang w:val="en-US" w:eastAsia="zh-CN"/>
        </w:rPr>
        <w:t xml:space="preserve">. With this </w:t>
      </w:r>
      <w:r>
        <w:rPr>
          <w:lang w:eastAsia="zh-CN"/>
        </w:rPr>
        <w:t>partial interlace allocation and transmission</w:t>
      </w:r>
      <w:r>
        <w:rPr>
          <w:rFonts w:hint="eastAsia"/>
          <w:lang w:val="en-US" w:eastAsia="zh-CN"/>
        </w:rPr>
        <w:t xml:space="preserve"> </w:t>
      </w:r>
      <w:r>
        <w:rPr>
          <w:rFonts w:hint="eastAsia" w:eastAsia="宋体"/>
          <w:lang w:val="en-US" w:eastAsia="zh-CN"/>
        </w:rPr>
        <w:t xml:space="preserve">method,  interlace #1 can be used by different UEs. </w:t>
      </w:r>
    </w:p>
    <w:p>
      <w:pPr>
        <w:rPr>
          <w:rFonts w:hint="eastAsia"/>
          <w:lang w:eastAsia="zh-CN"/>
        </w:rPr>
      </w:pPr>
      <w:r>
        <w:object>
          <v:shape id="_x0000_i1026" o:spt="75" type="#_x0000_t75" style="height:125pt;width:470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pStyle w:val="14"/>
        <w:jc w:val="center"/>
        <w:rPr>
          <w:b w:val="0"/>
          <w:bCs w:val="0"/>
        </w:rPr>
      </w:pPr>
      <w:r>
        <w:rPr>
          <w:b w:val="0"/>
          <w:bCs w:val="0"/>
        </w:rPr>
        <w:t xml:space="preserve">Figure </w:t>
      </w:r>
      <w:r>
        <w:rPr>
          <w:rFonts w:hint="eastAsia" w:eastAsia="宋体"/>
          <w:b w:val="0"/>
          <w:bCs w:val="0"/>
          <w:lang w:val="en-US" w:eastAsia="zh-CN"/>
        </w:rPr>
        <w:t>3</w:t>
      </w:r>
      <w:r>
        <w:rPr>
          <w:b w:val="0"/>
          <w:bCs w:val="0"/>
        </w:rPr>
        <w:t xml:space="preserve">. Example of partial interlace allocation for </w:t>
      </w:r>
      <w:r>
        <w:rPr>
          <w:rFonts w:hint="eastAsia" w:eastAsia="宋体"/>
          <w:b w:val="0"/>
          <w:bCs w:val="0"/>
          <w:lang w:val="en-US" w:eastAsia="zh-CN"/>
        </w:rPr>
        <w:t>different</w:t>
      </w:r>
      <w:r>
        <w:rPr>
          <w:b w:val="0"/>
          <w:bCs w:val="0"/>
        </w:rPr>
        <w:t xml:space="preserve"> UE</w:t>
      </w:r>
      <w:r>
        <w:rPr>
          <w:rFonts w:hint="eastAsia" w:eastAsia="宋体"/>
          <w:b w:val="0"/>
          <w:bCs w:val="0"/>
          <w:lang w:val="en-US" w:eastAsia="zh-CN"/>
        </w:rPr>
        <w:t>s</w:t>
      </w:r>
    </w:p>
    <w:p>
      <w:pPr>
        <w:numPr>
          <w:ilvl w:val="-1"/>
          <w:numId w:val="0"/>
        </w:numPr>
        <w:spacing w:after="0" w:line="260" w:lineRule="auto"/>
        <w:ind w:left="0" w:firstLine="0"/>
        <w:rPr>
          <w:rFonts w:hint="eastAsia" w:eastAsia="宋体"/>
          <w:bCs/>
          <w:i/>
          <w:iCs/>
          <w:lang w:val="en-US" w:eastAsia="zh-CN"/>
        </w:rPr>
      </w:pPr>
      <w:r>
        <w:rPr>
          <w:rFonts w:eastAsia="宋体"/>
          <w:b/>
          <w:lang w:eastAsia="zh-CN"/>
        </w:rPr>
        <w:t xml:space="preserve">Proposal </w:t>
      </w:r>
      <w:r>
        <w:rPr>
          <w:rFonts w:hint="eastAsia" w:eastAsia="宋体"/>
          <w:b/>
          <w:lang w:val="en-US" w:eastAsia="zh-CN"/>
        </w:rPr>
        <w:t>7</w:t>
      </w:r>
      <w:r>
        <w:rPr>
          <w:rFonts w:eastAsia="宋体"/>
          <w:b/>
          <w:lang w:eastAsia="zh-CN"/>
        </w:rPr>
        <w:t>:</w:t>
      </w:r>
      <w:r>
        <w:rPr>
          <w:rFonts w:hint="eastAsia" w:eastAsia="宋体"/>
          <w:b/>
          <w:lang w:val="en-US" w:eastAsia="zh-CN"/>
        </w:rPr>
        <w:t xml:space="preserve"> </w:t>
      </w:r>
      <w:r>
        <w:rPr>
          <w:rFonts w:hint="eastAsia" w:eastAsia="宋体"/>
          <w:bCs/>
          <w:i/>
          <w:iCs/>
          <w:lang w:val="en-US" w:eastAsia="zh-CN"/>
        </w:rPr>
        <w:t>In order to support partial interlace for PUSCH/PUCCH transmission, below two methods can be considered:</w:t>
      </w:r>
    </w:p>
    <w:p>
      <w:pPr>
        <w:numPr>
          <w:ilvl w:val="0"/>
          <w:numId w:val="23"/>
        </w:numPr>
        <w:spacing w:after="0" w:line="260" w:lineRule="auto"/>
        <w:ind w:left="420" w:hanging="420"/>
        <w:jc w:val="left"/>
        <w:rPr>
          <w:rFonts w:hint="eastAsia" w:eastAsia="宋体"/>
          <w:bCs/>
          <w:i/>
          <w:iCs/>
          <w:lang w:val="en-US" w:eastAsia="zh-CN"/>
        </w:rPr>
      </w:pPr>
      <w:r>
        <w:rPr>
          <w:rFonts w:hint="eastAsia" w:eastAsia="宋体"/>
          <w:bCs/>
          <w:i/>
          <w:iCs/>
          <w:lang w:val="en-US" w:eastAsia="zh-CN"/>
        </w:rPr>
        <w:t>Alt 1:Indicating allocated interlace(s) and sub-band(s) in the frequency domain resource assignment  scheme.</w:t>
      </w:r>
    </w:p>
    <w:p>
      <w:pPr>
        <w:numPr>
          <w:ilvl w:val="0"/>
          <w:numId w:val="23"/>
        </w:numPr>
        <w:spacing w:after="0" w:line="260" w:lineRule="auto"/>
        <w:ind w:left="420" w:hanging="420"/>
        <w:jc w:val="left"/>
        <w:rPr>
          <w:rFonts w:hint="eastAsia" w:eastAsia="宋体"/>
          <w:bCs/>
          <w:i/>
          <w:iCs/>
          <w:lang w:val="en-US" w:eastAsia="zh-CN"/>
        </w:rPr>
      </w:pPr>
      <w:r>
        <w:rPr>
          <w:rFonts w:hint="eastAsia" w:eastAsia="宋体"/>
          <w:bCs/>
          <w:i/>
          <w:iCs/>
          <w:lang w:val="en-US" w:eastAsia="zh-CN"/>
        </w:rPr>
        <w:t xml:space="preserve">Alt 2: Indicating allocated interlace(s) and the </w:t>
      </w:r>
      <w:r>
        <w:rPr>
          <w:rFonts w:hint="eastAsia"/>
          <w:i/>
          <w:iCs/>
          <w:lang w:val="en-US" w:eastAsia="zh-CN"/>
        </w:rPr>
        <w:t>starting PRB index or the offset value of the first PRB of the BWP and the PRB number.</w:t>
      </w:r>
    </w:p>
    <w:p>
      <w:pPr>
        <w:pStyle w:val="4"/>
        <w:tabs>
          <w:tab w:val="left" w:pos="450"/>
        </w:tabs>
        <w:spacing w:before="200" w:after="180" w:line="260" w:lineRule="auto"/>
        <w:ind w:left="567" w:hanging="567"/>
        <w:rPr>
          <w:rFonts w:cs="Times New Roman"/>
          <w:b/>
          <w:iCs w:val="0"/>
          <w:color w:val="000000"/>
          <w:sz w:val="21"/>
          <w:szCs w:val="21"/>
          <w:lang w:val="en-US" w:eastAsia="zh-CN"/>
        </w:rPr>
      </w:pPr>
      <w:r>
        <w:rPr>
          <w:rFonts w:hint="eastAsia" w:cs="Times New Roman"/>
          <w:b/>
          <w:iCs w:val="0"/>
          <w:color w:val="000000"/>
          <w:sz w:val="21"/>
          <w:szCs w:val="21"/>
          <w:lang w:val="en-US" w:eastAsia="zh-CN"/>
        </w:rPr>
        <w:t xml:space="preserve"> </w:t>
      </w:r>
      <w:r>
        <w:rPr>
          <w:rFonts w:cs="Times New Roman"/>
          <w:b/>
          <w:iCs w:val="0"/>
          <w:color w:val="000000"/>
          <w:sz w:val="21"/>
          <w:szCs w:val="21"/>
          <w:lang w:val="en-US" w:eastAsia="zh-CN"/>
        </w:rPr>
        <w:t xml:space="preserve">PRB interlace design for 60 kHz </w:t>
      </w:r>
      <w:r>
        <w:rPr>
          <w:rFonts w:hint="eastAsia" w:cs="Times New Roman"/>
          <w:b/>
          <w:iCs w:val="0"/>
          <w:color w:val="000000"/>
          <w:sz w:val="21"/>
          <w:szCs w:val="21"/>
          <w:lang w:val="en-US" w:eastAsia="zh-CN"/>
        </w:rPr>
        <w:t xml:space="preserve">SCS </w:t>
      </w:r>
      <w:r>
        <w:rPr>
          <w:rFonts w:cs="Times New Roman"/>
          <w:b/>
          <w:iCs w:val="0"/>
          <w:color w:val="000000"/>
          <w:sz w:val="21"/>
          <w:szCs w:val="21"/>
          <w:lang w:val="en-US" w:eastAsia="zh-CN"/>
        </w:rPr>
        <w:t>in 20 MHz</w:t>
      </w:r>
    </w:p>
    <w:p>
      <w:pPr>
        <w:tabs>
          <w:tab w:val="center" w:pos="4702"/>
        </w:tabs>
        <w:jc w:val="both"/>
        <w:rPr>
          <w:rFonts w:eastAsia="宋体"/>
          <w:lang w:val="en-US" w:eastAsia="zh-CN"/>
        </w:rPr>
      </w:pPr>
      <w:r>
        <w:rPr>
          <w:rFonts w:hint="eastAsia" w:eastAsia="宋体"/>
          <w:lang w:val="en-US" w:eastAsia="zh-CN"/>
        </w:rPr>
        <w:t xml:space="preserve">In the previous meeting, </w:t>
      </w:r>
      <w:r>
        <w:rPr>
          <w:rFonts w:eastAsia="宋体"/>
          <w:lang w:val="en-US" w:eastAsia="zh-CN"/>
        </w:rPr>
        <w:t xml:space="preserve">some </w:t>
      </w:r>
      <w:r>
        <w:t xml:space="preserve">companies have proposed an interlace design of PUSCH and PUCCH for the case of 60 kHz SCS. </w:t>
      </w:r>
      <w:r>
        <w:rPr>
          <w:rFonts w:hint="eastAsia" w:eastAsia="宋体"/>
          <w:lang w:val="en-US" w:eastAsia="zh-CN"/>
        </w:rPr>
        <w:t>E</w:t>
      </w:r>
      <w:r>
        <w:rPr>
          <w:rFonts w:eastAsia="宋体"/>
          <w:lang w:val="en-US" w:eastAsia="zh-CN"/>
        </w:rPr>
        <w:t>ither M = 3, N = 8 or M = 2, N = 12</w:t>
      </w:r>
      <w:r>
        <w:rPr>
          <w:rFonts w:hint="eastAsia" w:eastAsia="宋体"/>
          <w:lang w:val="en-US" w:eastAsia="zh-CN"/>
        </w:rPr>
        <w:t xml:space="preserve"> was given. </w:t>
      </w:r>
      <w:r>
        <w:rPr>
          <w:rFonts w:hint="eastAsia" w:eastAsia="宋体" w:cs="Arial"/>
          <w:lang w:val="en-US" w:eastAsia="zh-CN"/>
        </w:rPr>
        <w:t xml:space="preserve">However, in the </w:t>
      </w:r>
      <w:r>
        <w:rPr>
          <w:rFonts w:eastAsia="宋体" w:cs="Arial"/>
          <w:lang w:val="en-US" w:eastAsia="zh-CN"/>
        </w:rPr>
        <w:t>case</w:t>
      </w:r>
      <w:r>
        <w:rPr>
          <w:rFonts w:hint="eastAsia" w:eastAsia="宋体" w:cs="Arial"/>
          <w:lang w:val="en-US" w:eastAsia="zh-CN"/>
        </w:rPr>
        <w:t xml:space="preserve"> of </w:t>
      </w:r>
      <w:r>
        <w:rPr>
          <w:rFonts w:eastAsia="宋体"/>
          <w:lang w:val="en-US" w:eastAsia="zh-CN"/>
        </w:rPr>
        <w:t>M = 3, N = 8</w:t>
      </w:r>
      <w:r>
        <w:rPr>
          <w:rFonts w:hint="eastAsia" w:eastAsia="宋体"/>
          <w:lang w:val="en-US" w:eastAsia="zh-CN"/>
        </w:rPr>
        <w:t xml:space="preserve">, the </w:t>
      </w:r>
      <w:r>
        <w:rPr>
          <w:lang w:val="en-US" w:eastAsia="zh-CN"/>
        </w:rPr>
        <w:t>percentage</w:t>
      </w:r>
      <w:r>
        <w:rPr>
          <w:lang w:eastAsia="zh-CN"/>
        </w:rPr>
        <w:t xml:space="preserve"> of occupied channel bandwidth per interlace over declared channel bandwidth</w:t>
      </w:r>
      <w:r>
        <w:rPr>
          <w:rFonts w:hint="eastAsia"/>
          <w:lang w:val="en-US" w:eastAsia="zh-CN"/>
        </w:rPr>
        <w:t xml:space="preserve"> is 79.2% </w:t>
      </w:r>
      <w:r>
        <w:rPr>
          <w:lang w:val="en-US" w:eastAsia="zh-CN"/>
        </w:rPr>
        <w:t xml:space="preserve">which is </w:t>
      </w:r>
      <w:r>
        <w:rPr>
          <w:rFonts w:hint="eastAsia"/>
          <w:lang w:val="en-US" w:eastAsia="zh-CN"/>
        </w:rPr>
        <w:t xml:space="preserve">less than </w:t>
      </w:r>
      <w:r>
        <w:rPr>
          <w:lang w:val="en-US" w:eastAsia="zh-CN"/>
        </w:rPr>
        <w:t>the</w:t>
      </w:r>
      <w:r>
        <w:rPr>
          <w:rFonts w:hint="eastAsia"/>
          <w:lang w:val="en-US" w:eastAsia="zh-CN"/>
        </w:rPr>
        <w:t xml:space="preserve"> 80% OCB requirement. For </w:t>
      </w:r>
      <w:r>
        <w:rPr>
          <w:rFonts w:eastAsia="宋体"/>
          <w:lang w:val="en-US" w:eastAsia="zh-CN"/>
        </w:rPr>
        <w:t xml:space="preserve"> M = 2, N = 12</w:t>
      </w:r>
      <w:r>
        <w:rPr>
          <w:rFonts w:hint="eastAsia" w:eastAsia="宋体"/>
          <w:lang w:val="en-US" w:eastAsia="zh-CN"/>
        </w:rPr>
        <w:t xml:space="preserve">, only two UEs can be multiplexed in a 20MHz </w:t>
      </w:r>
      <w:r>
        <w:rPr>
          <w:rFonts w:eastAsia="宋体"/>
          <w:lang w:val="en-US" w:eastAsia="zh-CN"/>
        </w:rPr>
        <w:t>via</w:t>
      </w:r>
      <w:r>
        <w:rPr>
          <w:rFonts w:hint="eastAsia" w:eastAsia="宋体"/>
          <w:lang w:val="en-US" w:eastAsia="zh-CN"/>
        </w:rPr>
        <w:t xml:space="preserve"> FDM and the </w:t>
      </w:r>
      <w:r>
        <w:rPr>
          <w:rFonts w:eastAsia="宋体"/>
          <w:lang w:val="en-US" w:eastAsia="zh-CN"/>
        </w:rPr>
        <w:t xml:space="preserve">layout </w:t>
      </w:r>
      <w:r>
        <w:rPr>
          <w:rFonts w:hint="eastAsia" w:eastAsia="宋体"/>
          <w:lang w:val="en-US" w:eastAsia="zh-CN"/>
        </w:rPr>
        <w:t xml:space="preserve">looks </w:t>
      </w:r>
      <w:r>
        <w:rPr>
          <w:rFonts w:eastAsia="宋体"/>
          <w:lang w:val="en-US" w:eastAsia="zh-CN"/>
        </w:rPr>
        <w:t>awkward</w:t>
      </w:r>
      <w:r>
        <w:rPr>
          <w:rFonts w:hint="eastAsia" w:eastAsia="宋体"/>
          <w:lang w:val="en-US" w:eastAsia="zh-CN"/>
        </w:rPr>
        <w:t xml:space="preserve"> as show</w:t>
      </w:r>
      <w:r>
        <w:rPr>
          <w:rFonts w:eastAsia="宋体"/>
          <w:lang w:val="en-US" w:eastAsia="zh-CN"/>
        </w:rPr>
        <w:t>n</w:t>
      </w:r>
      <w:r>
        <w:rPr>
          <w:rFonts w:hint="eastAsia" w:eastAsia="宋体"/>
          <w:lang w:val="en-US" w:eastAsia="zh-CN"/>
        </w:rPr>
        <w:t xml:space="preserve"> in </w:t>
      </w:r>
      <w:r>
        <w:rPr>
          <w:rFonts w:eastAsia="宋体"/>
          <w:lang w:val="en-US" w:eastAsia="zh-CN"/>
        </w:rPr>
        <w:t>F</w:t>
      </w:r>
      <w:r>
        <w:rPr>
          <w:rFonts w:hint="eastAsia" w:eastAsia="宋体"/>
          <w:lang w:val="en-US" w:eastAsia="zh-CN"/>
        </w:rPr>
        <w:t>igure 4.</w:t>
      </w:r>
    </w:p>
    <w:p>
      <w:pPr>
        <w:tabs>
          <w:tab w:val="center" w:pos="4702"/>
        </w:tabs>
        <w:jc w:val="both"/>
        <w:rPr>
          <w:rFonts w:eastAsia="宋体"/>
          <w:lang w:val="en-US" w:eastAsia="zh-CN"/>
        </w:rPr>
      </w:pPr>
      <w:r>
        <w:object>
          <v:shape id="_x0000_i1027" o:spt="75" type="#_x0000_t75" style="height:219.5pt;width:399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tabs>
          <w:tab w:val="center" w:pos="4702"/>
        </w:tabs>
        <w:jc w:val="center"/>
        <w:rPr>
          <w:rFonts w:eastAsia="宋体"/>
          <w:bCs/>
          <w:lang w:val="en-US" w:eastAsia="zh-CN"/>
        </w:rPr>
      </w:pPr>
      <w:r>
        <w:rPr>
          <w:rFonts w:hint="eastAsia" w:eastAsia="宋体"/>
          <w:bCs/>
          <w:lang w:val="en-US" w:eastAsia="zh-CN"/>
        </w:rPr>
        <w:t xml:space="preserve">Figure 4. </w:t>
      </w:r>
      <w:r>
        <w:rPr>
          <w:rFonts w:eastAsia="宋体"/>
          <w:bCs/>
          <w:lang w:val="en-US" w:eastAsia="zh-CN"/>
        </w:rPr>
        <w:t>M = 2, N = 12</w:t>
      </w:r>
      <w:r>
        <w:rPr>
          <w:rFonts w:hint="eastAsia" w:eastAsia="宋体"/>
          <w:bCs/>
          <w:lang w:val="en-US" w:eastAsia="zh-CN"/>
        </w:rPr>
        <w:t xml:space="preserve"> for 60</w:t>
      </w:r>
      <w:r>
        <w:rPr>
          <w:rFonts w:eastAsia="宋体"/>
          <w:bCs/>
          <w:lang w:val="en-US" w:eastAsia="zh-CN"/>
        </w:rPr>
        <w:t xml:space="preserve"> </w:t>
      </w:r>
      <w:r>
        <w:rPr>
          <w:rFonts w:hint="eastAsia" w:eastAsia="宋体"/>
          <w:bCs/>
          <w:lang w:val="en-US" w:eastAsia="zh-CN"/>
        </w:rPr>
        <w:t>kHz SCS in a 20MHz</w:t>
      </w:r>
    </w:p>
    <w:p>
      <w:pPr>
        <w:tabs>
          <w:tab w:val="center" w:pos="4702"/>
        </w:tabs>
        <w:jc w:val="both"/>
        <w:rPr>
          <w:rFonts w:eastAsia="宋体"/>
          <w:lang w:val="en-US" w:eastAsia="zh-CN"/>
        </w:rPr>
      </w:pPr>
      <w:r>
        <w:rPr>
          <w:rFonts w:hint="eastAsia" w:eastAsia="宋体" w:cs="Arial"/>
          <w:lang w:val="en-US" w:eastAsia="zh-CN"/>
        </w:rPr>
        <w:t>Besides, i</w:t>
      </w:r>
      <w:r>
        <w:rPr>
          <w:rFonts w:cs="Arial"/>
        </w:rPr>
        <w:t>n our view,</w:t>
      </w:r>
      <w:r>
        <w:rPr>
          <w:rFonts w:hint="eastAsia" w:eastAsia="宋体" w:cs="Arial"/>
          <w:lang w:val="en-US" w:eastAsia="zh-CN"/>
        </w:rPr>
        <w:t xml:space="preserve"> </w:t>
      </w:r>
      <w:r>
        <w:rPr>
          <w:rFonts w:cs="Arial"/>
        </w:rPr>
        <w:t xml:space="preserve">the benefits of 60 kHz SCS </w:t>
      </w:r>
      <w:r>
        <w:rPr>
          <w:rFonts w:hint="eastAsia" w:eastAsia="宋体" w:cs="Arial"/>
          <w:lang w:val="en-US" w:eastAsia="zh-CN"/>
        </w:rPr>
        <w:t>PRB interlace</w:t>
      </w:r>
      <w:r>
        <w:rPr>
          <w:rFonts w:cs="Arial"/>
        </w:rPr>
        <w:t xml:space="preserve"> are not clear,</w:t>
      </w:r>
      <w:r>
        <w:rPr>
          <w:rFonts w:hint="eastAsia" w:eastAsia="宋体" w:cs="Arial"/>
          <w:lang w:val="en-US" w:eastAsia="zh-CN"/>
        </w:rPr>
        <w:t xml:space="preserve"> </w:t>
      </w:r>
      <w:r>
        <w:rPr>
          <w:rFonts w:eastAsia="宋体" w:cs="Arial"/>
          <w:lang w:val="en-US" w:eastAsia="zh-CN"/>
        </w:rPr>
        <w:t>yet with several shortcomings such</w:t>
      </w:r>
      <w:r>
        <w:rPr>
          <w:rFonts w:hint="eastAsia" w:eastAsia="宋体" w:cs="Arial"/>
          <w:lang w:val="en-US" w:eastAsia="zh-CN"/>
        </w:rPr>
        <w:t xml:space="preserve"> as </w:t>
      </w:r>
      <w:r>
        <w:rPr>
          <w:rFonts w:eastAsia="宋体"/>
          <w:kern w:val="2"/>
          <w:lang w:val="en-US" w:eastAsia="zh-CN"/>
        </w:rPr>
        <w:t>scheduling restriction, etc.</w:t>
      </w:r>
      <w:r>
        <w:rPr>
          <w:rFonts w:hint="eastAsia" w:eastAsia="宋体"/>
          <w:kern w:val="2"/>
          <w:lang w:val="en-US" w:eastAsia="zh-CN"/>
        </w:rPr>
        <w:t xml:space="preserve"> </w:t>
      </w:r>
      <w:r>
        <w:rPr>
          <w:rFonts w:eastAsia="宋体"/>
          <w:kern w:val="2"/>
          <w:lang w:val="en-US" w:eastAsia="zh-CN"/>
        </w:rPr>
        <w:t>In this sense, the</w:t>
      </w:r>
      <w:r>
        <w:t xml:space="preserve"> contiguous allocation</w:t>
      </w:r>
      <w:r>
        <w:rPr>
          <w:rFonts w:hint="eastAsia" w:eastAsia="宋体"/>
          <w:lang w:val="en-US" w:eastAsia="zh-CN"/>
        </w:rPr>
        <w:t xml:space="preserve"> as in R</w:t>
      </w:r>
      <w:r>
        <w:rPr>
          <w:rFonts w:eastAsia="宋体"/>
          <w:lang w:val="en-US" w:eastAsia="zh-CN"/>
        </w:rPr>
        <w:t>el-</w:t>
      </w:r>
      <w:r>
        <w:rPr>
          <w:rFonts w:hint="eastAsia" w:eastAsia="宋体"/>
          <w:lang w:val="en-US" w:eastAsia="zh-CN"/>
        </w:rPr>
        <w:t xml:space="preserve">15 </w:t>
      </w:r>
      <w:r>
        <w:t>would be sufficient.</w:t>
      </w:r>
    </w:p>
    <w:p>
      <w:pPr>
        <w:rPr>
          <w:rFonts w:hint="eastAsia" w:eastAsia="宋体"/>
          <w:i/>
          <w:iCs/>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w:t>
      </w:r>
      <w:r>
        <w:rPr>
          <w:rFonts w:hint="eastAsia" w:eastAsia="宋体"/>
          <w:b/>
          <w:lang w:val="en-US" w:eastAsia="zh-CN"/>
        </w:rPr>
        <w:t xml:space="preserve"> </w:t>
      </w:r>
      <w:r>
        <w:rPr>
          <w:i/>
          <w:iCs/>
        </w:rPr>
        <w:t xml:space="preserve">PRB block interlace design </w:t>
      </w:r>
      <w:r>
        <w:rPr>
          <w:rFonts w:hint="eastAsia" w:eastAsia="宋体"/>
          <w:i/>
          <w:iCs/>
          <w:lang w:val="en-US" w:eastAsia="zh-CN"/>
        </w:rPr>
        <w:t>for 60</w:t>
      </w:r>
      <w:r>
        <w:rPr>
          <w:rFonts w:eastAsia="宋体"/>
          <w:i/>
          <w:iCs/>
          <w:lang w:val="en-US" w:eastAsia="zh-CN"/>
        </w:rPr>
        <w:t xml:space="preserve"> </w:t>
      </w:r>
      <w:r>
        <w:rPr>
          <w:rFonts w:hint="eastAsia" w:eastAsia="宋体"/>
          <w:i/>
          <w:iCs/>
          <w:lang w:val="en-US" w:eastAsia="zh-CN"/>
        </w:rPr>
        <w:t xml:space="preserve">kHz is </w:t>
      </w:r>
      <w:r>
        <w:rPr>
          <w:i/>
          <w:iCs/>
        </w:rPr>
        <w:t>not supported for PUSCH and PUCCH</w:t>
      </w:r>
      <w:r>
        <w:rPr>
          <w:rFonts w:hint="eastAsia" w:eastAsia="宋体"/>
          <w:i/>
          <w:iCs/>
          <w:lang w:val="en-US" w:eastAsia="zh-CN"/>
        </w:rPr>
        <w:t xml:space="preserve">. </w:t>
      </w:r>
    </w:p>
    <w:p>
      <w:pPr>
        <w:pStyle w:val="4"/>
        <w:numPr>
          <w:ilvl w:val="2"/>
          <w:numId w:val="1"/>
        </w:numPr>
        <w:ind w:left="720" w:hanging="720"/>
        <w:rPr>
          <w:b/>
          <w:bCs/>
          <w:lang w:val="en-US" w:eastAsia="zh-CN"/>
        </w:rPr>
      </w:pPr>
      <w:r>
        <w:rPr>
          <w:rFonts w:hint="eastAsia"/>
          <w:b/>
          <w:bCs/>
          <w:lang w:val="en-US" w:eastAsia="zh-CN"/>
        </w:rPr>
        <w:t xml:space="preserve"> DFT-s-OFDM for interlaced transmissions</w:t>
      </w:r>
    </w:p>
    <w:p>
      <w:pPr>
        <w:pStyle w:val="16"/>
        <w:jc w:val="both"/>
        <w:rPr>
          <w:rFonts w:eastAsia="宋体"/>
          <w:lang w:val="en-US" w:eastAsia="ko-KR"/>
        </w:rPr>
      </w:pPr>
      <w:r>
        <w:rPr>
          <w:rFonts w:eastAsia="宋体"/>
          <w:lang w:val="en-US" w:eastAsia="zh-CN"/>
        </w:rPr>
        <w:t xml:space="preserve">In NR, CP-OFDM </w:t>
      </w:r>
      <w:r>
        <w:rPr>
          <w:rFonts w:hint="eastAsia" w:eastAsia="宋体"/>
          <w:lang w:val="en-US" w:eastAsia="zh-CN"/>
        </w:rPr>
        <w:t xml:space="preserve">waveform </w:t>
      </w:r>
      <w:r>
        <w:rPr>
          <w:rFonts w:eastAsia="宋体"/>
          <w:lang w:val="en-US" w:eastAsia="zh-CN"/>
        </w:rPr>
        <w:t>is supported with non-contiguous frequency resource allocation. It can directly be reused to meet the regulatory requirement</w:t>
      </w:r>
      <w:r>
        <w:rPr>
          <w:rFonts w:hint="eastAsia" w:eastAsia="宋体"/>
          <w:lang w:val="en-US" w:eastAsia="zh-CN"/>
        </w:rPr>
        <w:t xml:space="preserve"> and simplifie</w:t>
      </w:r>
      <w:r>
        <w:rPr>
          <w:rFonts w:eastAsia="宋体"/>
          <w:lang w:val="en-US" w:eastAsia="zh-CN"/>
        </w:rPr>
        <w:t xml:space="preserve">s </w:t>
      </w:r>
      <w:r>
        <w:rPr>
          <w:rFonts w:hint="eastAsia" w:eastAsia="宋体"/>
          <w:lang w:val="en-US" w:eastAsia="zh-CN"/>
        </w:rPr>
        <w:t>some design</w:t>
      </w:r>
      <w:r>
        <w:rPr>
          <w:rFonts w:eastAsia="宋体"/>
          <w:lang w:val="en-US" w:eastAsia="zh-CN"/>
        </w:rPr>
        <w:t xml:space="preserve">. </w:t>
      </w:r>
      <w:r>
        <w:rPr>
          <w:rFonts w:hint="eastAsia" w:eastAsia="宋体"/>
          <w:lang w:val="en-US" w:eastAsia="zh-CN"/>
        </w:rPr>
        <w:t>F</w:t>
      </w:r>
      <w:r>
        <w:rPr>
          <w:rFonts w:eastAsia="宋体"/>
          <w:lang w:val="en-US" w:eastAsia="zh-CN"/>
        </w:rPr>
        <w:t>or DFT-</w:t>
      </w:r>
      <w:r>
        <w:rPr>
          <w:rFonts w:hint="eastAsia" w:eastAsia="宋体"/>
          <w:lang w:val="en-US" w:eastAsia="zh-CN"/>
        </w:rPr>
        <w:t>s-</w:t>
      </w:r>
      <w:r>
        <w:rPr>
          <w:rFonts w:eastAsia="宋体"/>
          <w:lang w:val="en-US" w:eastAsia="zh-CN"/>
        </w:rPr>
        <w:t>OFDM waveform</w:t>
      </w:r>
      <w:r>
        <w:rPr>
          <w:rFonts w:hint="eastAsia" w:eastAsia="宋体"/>
          <w:lang w:val="en-US" w:eastAsia="zh-CN"/>
        </w:rPr>
        <w:t xml:space="preserve">, it </w:t>
      </w:r>
      <w:r>
        <w:rPr>
          <w:rFonts w:eastAsia="宋体"/>
          <w:lang w:val="en-US" w:eastAsia="zh-CN"/>
        </w:rPr>
        <w:t>has lower</w:t>
      </w:r>
      <w:r>
        <w:t xml:space="preserve"> PAPR compar</w:t>
      </w:r>
      <w:r>
        <w:rPr>
          <w:rFonts w:hint="eastAsia" w:eastAsia="宋体"/>
          <w:lang w:val="en-US" w:eastAsia="zh-CN"/>
        </w:rPr>
        <w:t>ing</w:t>
      </w:r>
      <w:r>
        <w:t xml:space="preserve"> to CP-OFDM, which </w:t>
      </w:r>
      <w:r>
        <w:rPr>
          <w:rFonts w:hint="eastAsia" w:eastAsia="宋体"/>
          <w:lang w:val="en-US" w:eastAsia="zh-CN"/>
        </w:rPr>
        <w:t>will help to</w:t>
      </w:r>
      <w:r>
        <w:t xml:space="preserve"> achieve larger coverage than </w:t>
      </w:r>
      <w:r>
        <w:rPr>
          <w:rFonts w:hint="eastAsia" w:eastAsia="宋体"/>
          <w:lang w:val="en-US" w:eastAsia="zh-CN"/>
        </w:rPr>
        <w:t>CP-</w:t>
      </w:r>
      <w:r>
        <w:t xml:space="preserve">OFDM in power limited scenarios. </w:t>
      </w:r>
      <w:r>
        <w:rPr>
          <w:rFonts w:hint="eastAsia" w:eastAsia="宋体"/>
          <w:lang w:val="en-US" w:eastAsia="zh-CN"/>
        </w:rPr>
        <w:t xml:space="preserve">However, </w:t>
      </w:r>
      <w:r>
        <w:rPr>
          <w:rFonts w:hint="eastAsia"/>
          <w:lang w:val="en-US" w:eastAsia="zh-CN"/>
        </w:rPr>
        <w:t xml:space="preserve">NR-U </w:t>
      </w:r>
      <w:r>
        <w:rPr>
          <w:lang w:val="en-US" w:eastAsia="ja-JP"/>
        </w:rPr>
        <w:t xml:space="preserve">mainly targets for the </w:t>
      </w:r>
      <w:r>
        <w:rPr>
          <w:rFonts w:hint="eastAsia"/>
          <w:lang w:val="en-US" w:eastAsia="zh-CN"/>
        </w:rPr>
        <w:t xml:space="preserve">small cell scenario, </w:t>
      </w:r>
      <w:r>
        <w:rPr>
          <w:rFonts w:hint="eastAsia" w:eastAsia="宋体"/>
          <w:lang w:val="en-US" w:eastAsia="zh-CN"/>
        </w:rPr>
        <w:t xml:space="preserve">coverage </w:t>
      </w:r>
      <w:r>
        <w:rPr>
          <w:lang w:val="en-US" w:eastAsia="zh-CN"/>
        </w:rPr>
        <w:t>may not be a critical issue</w:t>
      </w:r>
      <w:r>
        <w:rPr>
          <w:rFonts w:hint="eastAsia" w:eastAsia="宋体"/>
          <w:lang w:val="en-US" w:eastAsia="zh-CN"/>
        </w:rPr>
        <w:t>. Besides,</w:t>
      </w:r>
      <w:r>
        <w:t xml:space="preserve"> the PAPR </w:t>
      </w:r>
      <w:r>
        <w:rPr>
          <w:rFonts w:hint="eastAsia" w:eastAsia="宋体"/>
          <w:lang w:val="en-US" w:eastAsia="zh-CN"/>
        </w:rPr>
        <w:t>reduction of DFT-s</w:t>
      </w:r>
      <w:r>
        <w:t>-FDM</w:t>
      </w:r>
      <w:r>
        <w:rPr>
          <w:rFonts w:hint="eastAsia" w:eastAsia="宋体"/>
          <w:lang w:val="en-US" w:eastAsia="zh-CN"/>
        </w:rPr>
        <w:t xml:space="preserve"> is</w:t>
      </w:r>
      <w:r>
        <w:t xml:space="preserve"> </w:t>
      </w:r>
      <w:r>
        <w:rPr>
          <w:rFonts w:hint="eastAsia" w:eastAsia="宋体"/>
          <w:lang w:val="en-US" w:eastAsia="zh-CN"/>
        </w:rPr>
        <w:t>limit</w:t>
      </w:r>
      <w:r>
        <w:t>ed due to the interlace structure.</w:t>
      </w:r>
      <w:r>
        <w:rPr>
          <w:rFonts w:hint="eastAsia" w:eastAsia="宋体"/>
          <w:lang w:val="en-US" w:eastAsia="zh-CN"/>
        </w:rPr>
        <w:t xml:space="preserve"> Therefore, </w:t>
      </w:r>
      <w:r>
        <w:t>the PAPR advantages offered by DFT-s-OFDM would be reduced or even disappear when interlaced transmission is introduced for PUSCH.</w:t>
      </w:r>
      <w:r>
        <w:rPr>
          <w:rFonts w:hint="eastAsia" w:eastAsia="宋体"/>
          <w:lang w:val="en-US" w:eastAsia="zh-CN"/>
        </w:rPr>
        <w:t xml:space="preserve"> Furthermore,</w:t>
      </w:r>
      <w:r>
        <w:rPr>
          <w:rFonts w:eastAsia="宋体"/>
          <w:lang w:val="en-US" w:eastAsia="zh-CN"/>
        </w:rPr>
        <w:t xml:space="preserve"> </w:t>
      </w:r>
      <w:r>
        <w:t xml:space="preserve">DFT-s-OFDM introduces </w:t>
      </w:r>
      <w:r>
        <w:rPr>
          <w:rFonts w:hint="eastAsia" w:eastAsia="宋体"/>
          <w:lang w:val="en-US" w:eastAsia="zh-CN"/>
        </w:rPr>
        <w:t xml:space="preserve">some </w:t>
      </w:r>
      <w:r>
        <w:t>constraints on the interlace design, e.g., restrictions on the number of PRBs per interlace</w:t>
      </w:r>
      <w:r>
        <w:rPr>
          <w:rFonts w:hint="eastAsia" w:eastAsia="宋体"/>
          <w:lang w:val="en-US" w:eastAsia="zh-CN"/>
        </w:rPr>
        <w:t xml:space="preserve">. Therefore, </w:t>
      </w:r>
      <w:r>
        <w:t>DFT-s-OFDM should not be supported for interlaced transmissions.</w:t>
      </w:r>
    </w:p>
    <w:p>
      <w:pPr>
        <w:pStyle w:val="16"/>
        <w:spacing w:after="0"/>
        <w:jc w:val="both"/>
        <w:rPr>
          <w:rFonts w:hint="eastAsia" w:eastAsia="宋体"/>
          <w:i w:val="0"/>
          <w:iCs w:val="0"/>
          <w:sz w:val="20"/>
          <w:szCs w:val="22"/>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eastAsia="宋体"/>
          <w:i/>
          <w:iCs/>
          <w:lang w:val="en-US" w:eastAsia="zh-CN"/>
        </w:rPr>
        <w:t>Only</w:t>
      </w:r>
      <w:r>
        <w:rPr>
          <w:i/>
          <w:iCs/>
        </w:rPr>
        <w:t xml:space="preserve"> CP-OFDM </w:t>
      </w:r>
      <w:r>
        <w:rPr>
          <w:rFonts w:hint="eastAsia" w:eastAsia="宋体"/>
          <w:i/>
          <w:iCs/>
          <w:lang w:val="en-US" w:eastAsia="zh-CN"/>
        </w:rPr>
        <w:t xml:space="preserve">waveform is </w:t>
      </w:r>
      <w:r>
        <w:rPr>
          <w:i/>
          <w:iCs/>
        </w:rPr>
        <w:t>supported for interlaced PUSCH</w:t>
      </w:r>
      <w:r>
        <w:rPr>
          <w:rFonts w:hint="eastAsia" w:eastAsia="宋体"/>
          <w:i/>
          <w:iCs/>
          <w:lang w:val="en-US" w:eastAsia="zh-CN"/>
        </w:rPr>
        <w:t xml:space="preserve"> </w:t>
      </w:r>
      <w:r>
        <w:rPr>
          <w:i/>
          <w:iCs/>
        </w:rPr>
        <w:t>transmission</w:t>
      </w:r>
      <w:r>
        <w:rPr>
          <w:rFonts w:hint="eastAsia" w:eastAsia="宋体"/>
          <w:i/>
          <w:iCs/>
          <w:lang w:val="en-US" w:eastAsia="zh-CN"/>
        </w:rPr>
        <w:t>.</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SRS</w:t>
      </w:r>
    </w:p>
    <w:bookmarkEnd w:id="1"/>
    <w:bookmarkEnd w:id="2"/>
    <w:bookmarkEnd w:id="3"/>
    <w:bookmarkEnd w:id="4"/>
    <w:p>
      <w:pPr>
        <w:jc w:val="both"/>
        <w:rPr>
          <w:rFonts w:eastAsia="宋体"/>
          <w:lang w:val="en-US" w:eastAsia="zh-CN"/>
        </w:rPr>
      </w:pPr>
      <w:bookmarkStart w:id="8" w:name="IDX-CHP-8-0992"/>
      <w:bookmarkEnd w:id="8"/>
      <w:bookmarkStart w:id="9" w:name="IDX-CHP-8-0995"/>
      <w:bookmarkEnd w:id="9"/>
      <w:bookmarkStart w:id="10" w:name="IDX-CHP-8-0993"/>
      <w:bookmarkEnd w:id="10"/>
      <w:bookmarkStart w:id="11" w:name="IDX-CHP-8-0996"/>
      <w:bookmarkEnd w:id="11"/>
      <w:bookmarkStart w:id="12" w:name="IDX-CHP-8-0994"/>
      <w:bookmarkEnd w:id="12"/>
      <w:r>
        <w:rPr>
          <w:rFonts w:eastAsia="宋体"/>
          <w:lang w:val="en-US" w:eastAsia="zh-CN"/>
        </w:rPr>
        <w:t>Similar to</w:t>
      </w:r>
      <w:r>
        <w:rPr>
          <w:rFonts w:hint="eastAsia" w:eastAsia="宋体"/>
          <w:lang w:val="en-US" w:eastAsia="zh-CN"/>
        </w:rPr>
        <w:t xml:space="preserve"> LTE, Rel-15 NR supports SRS-based frequency-selective scheduling and periodic/aperiodic SRS transmission. Rel-15 NR also support</w:t>
      </w:r>
      <w:r>
        <w:rPr>
          <w:rFonts w:eastAsia="宋体"/>
          <w:lang w:val="en-US" w:eastAsia="zh-CN"/>
        </w:rPr>
        <w:t>s</w:t>
      </w:r>
      <w:r>
        <w:rPr>
          <w:rFonts w:hint="eastAsia" w:eastAsia="宋体"/>
          <w:lang w:val="en-US" w:eastAsia="zh-CN"/>
        </w:rPr>
        <w:t xml:space="preserve"> SRS-based downlink beamforming and semi-persistent SRS transmission. In NR-U, aperiodic SRS should be supported similar to eLAA</w:t>
      </w:r>
      <w:r>
        <w:rPr>
          <w:rFonts w:eastAsia="宋体"/>
          <w:lang w:val="en-US" w:eastAsia="zh-CN"/>
        </w:rPr>
        <w:t>,</w:t>
      </w:r>
      <w:r>
        <w:rPr>
          <w:rFonts w:hint="eastAsia" w:eastAsia="宋体"/>
          <w:lang w:val="en-US" w:eastAsia="zh-CN"/>
        </w:rPr>
        <w:t xml:space="preserve"> </w:t>
      </w:r>
      <w:r>
        <w:rPr>
          <w:rFonts w:eastAsia="宋体"/>
          <w:lang w:val="en-US" w:eastAsia="zh-CN"/>
        </w:rPr>
        <w:t>since</w:t>
      </w:r>
      <w:r>
        <w:rPr>
          <w:rFonts w:hint="eastAsia" w:eastAsia="宋体"/>
          <w:lang w:val="en-US" w:eastAsia="zh-CN"/>
        </w:rPr>
        <w:t xml:space="preserve"> aperiodic SRS can match the characteristics of opportunistic transmission in unlicensed band. Periodic SRS and semi-persistent SRS can also be considered</w:t>
      </w:r>
      <w:r>
        <w:rPr>
          <w:rFonts w:eastAsia="宋体"/>
          <w:lang w:val="en-US" w:eastAsia="zh-CN"/>
        </w:rPr>
        <w:t>. However,</w:t>
      </w:r>
      <w:r>
        <w:rPr>
          <w:rFonts w:hint="eastAsia" w:eastAsia="宋体"/>
          <w:lang w:val="en-US" w:eastAsia="zh-CN"/>
        </w:rPr>
        <w:t xml:space="preserve"> they may be actually sent in an irregular periodic/semi-persistent manner due to the unpredictable outcome of LBT.</w:t>
      </w:r>
    </w:p>
    <w:p>
      <w:pPr>
        <w:jc w:val="both"/>
        <w:rPr>
          <w:rFonts w:eastAsia="宋体"/>
          <w:highlight w:val="none"/>
          <w:lang w:val="en-US" w:eastAsia="zh-CN"/>
        </w:rPr>
      </w:pPr>
      <w:r>
        <w:rPr>
          <w:rFonts w:hint="eastAsia" w:eastAsia="宋体"/>
          <w:lang w:val="en-US" w:eastAsia="zh-CN"/>
        </w:rPr>
        <w:t xml:space="preserve">The SRS waveform in NR Rel-15 can be reused in NR-U . The comb structure with comb number </w:t>
      </w:r>
      <w:r>
        <w:rPr>
          <w:rFonts w:hint="eastAsia" w:eastAsia="宋体"/>
          <w:i/>
          <w:iCs/>
          <w:lang w:val="en-US" w:eastAsia="zh-CN"/>
        </w:rPr>
        <w:t>K</w:t>
      </w:r>
      <w:r>
        <w:rPr>
          <w:rFonts w:hint="eastAsia" w:eastAsia="宋体"/>
          <w:vertAlign w:val="subscript"/>
          <w:lang w:val="en-US" w:eastAsia="zh-CN"/>
        </w:rPr>
        <w:t xml:space="preserve">TC </w:t>
      </w:r>
      <w:r>
        <w:rPr>
          <w:rFonts w:hint="eastAsia" w:eastAsia="宋体"/>
          <w:lang w:val="en-US" w:eastAsia="zh-CN"/>
        </w:rPr>
        <w:t xml:space="preserve">= 2 or 4 can facilitate SRS transmission to meet the requirements of OCB/PSD by proper configuration, while enabling UE to </w:t>
      </w:r>
      <w:r>
        <w:rPr>
          <w:rFonts w:eastAsia="宋体"/>
          <w:lang w:val="en-US" w:eastAsia="zh-CN"/>
        </w:rPr>
        <w:t>better utilize the</w:t>
      </w:r>
      <w:r>
        <w:rPr>
          <w:rFonts w:hint="eastAsia" w:eastAsia="宋体"/>
          <w:lang w:val="en-US" w:eastAsia="zh-CN"/>
        </w:rPr>
        <w:t xml:space="preserve"> power. SRS can be multiplexed with PUSCH/PUCCH in a TDM manner. Block-interlaced SRS and frequency domain multiplexing of SRS with PUSCH/PUCCH are not necessary in NR-U. Interlaced SRS and frequency domain multiplexing have great impacts on the exiting specification, and they will destroy the cross-correlation properties of ZC sequence. Without accurate evaluation, it is difficult to determine whether it is really beneficial for</w:t>
      </w:r>
      <w:r>
        <w:rPr>
          <w:rFonts w:hint="eastAsia" w:eastAsia="宋体"/>
          <w:highlight w:val="none"/>
          <w:lang w:val="en-US" w:eastAsia="zh-CN"/>
        </w:rPr>
        <w:t xml:space="preserve"> PUSCH link adaptation.</w:t>
      </w:r>
    </w:p>
    <w:p>
      <w:pPr>
        <w:jc w:val="both"/>
        <w:rPr>
          <w:rFonts w:eastAsia="宋体"/>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w:t>
      </w:r>
      <w:r>
        <w:rPr>
          <w:rFonts w:hint="eastAsia" w:eastAsia="宋体"/>
          <w:b/>
          <w:lang w:val="en-US" w:eastAsia="zh-CN"/>
        </w:rPr>
        <w:t xml:space="preserve"> </w:t>
      </w:r>
      <w:r>
        <w:rPr>
          <w:rFonts w:hint="eastAsia" w:eastAsia="宋体"/>
          <w:bCs/>
          <w:i/>
          <w:iCs/>
          <w:lang w:val="en-US" w:eastAsia="zh-CN"/>
        </w:rPr>
        <w:t>The waveform of Rel-15 NR SRS can be reused for NR-U SRS. NR-U does not need to support interlaced SRS transmission and frequency domain multiplexing of SRS with PUSCH/PUCCH.</w:t>
      </w:r>
    </w:p>
    <w:p>
      <w:pPr>
        <w:jc w:val="both"/>
        <w:rPr>
          <w:rFonts w:eastAsia="宋体"/>
          <w:lang w:val="en-US" w:eastAsia="zh-CN"/>
        </w:rPr>
      </w:pPr>
      <w:r>
        <w:rPr>
          <w:rFonts w:hint="eastAsia" w:eastAsia="宋体"/>
          <w:lang w:val="en-US" w:eastAsia="zh-CN"/>
        </w:rPr>
        <w:t>As described in FL summary</w:t>
      </w:r>
      <w:r>
        <w:rPr>
          <w:rFonts w:eastAsia="宋体"/>
          <w:lang w:val="en-US" w:eastAsia="zh-CN"/>
        </w:rPr>
        <w:t xml:space="preserve"> </w:t>
      </w:r>
      <w:r>
        <w:rPr>
          <w:rFonts w:hint="eastAsia" w:eastAsia="宋体"/>
          <w:highlight w:val="none"/>
          <w:lang w:val="en-US" w:eastAsia="zh-CN"/>
        </w:rPr>
        <w:t>[3]</w:t>
      </w:r>
      <w:r>
        <w:rPr>
          <w:rFonts w:hint="eastAsia" w:eastAsia="宋体"/>
          <w:lang w:val="en-US" w:eastAsia="zh-CN"/>
        </w:rPr>
        <w:t xml:space="preserve">, </w:t>
      </w:r>
      <w:r>
        <w:t>aperiodic SRS resources are triggered in slot n by DCI</w:t>
      </w:r>
      <w:r>
        <w:rPr>
          <w:rFonts w:hint="eastAsia" w:eastAsia="宋体"/>
          <w:lang w:val="en-US" w:eastAsia="zh-CN"/>
        </w:rPr>
        <w:t xml:space="preserve"> i</w:t>
      </w:r>
      <w:r>
        <w:t>n</w:t>
      </w:r>
      <w:r>
        <w:rPr>
          <w:rFonts w:hint="eastAsia" w:eastAsia="宋体"/>
          <w:lang w:val="en-US" w:eastAsia="zh-CN"/>
        </w:rPr>
        <w:t xml:space="preserve"> NR </w:t>
      </w:r>
      <w:r>
        <w:t>Rel-15</w:t>
      </w:r>
      <w:r>
        <w:rPr>
          <w:rFonts w:hint="eastAsia" w:eastAsia="宋体"/>
          <w:lang w:val="en-US" w:eastAsia="zh-CN"/>
        </w:rPr>
        <w:t xml:space="preserve"> </w:t>
      </w:r>
      <w:r>
        <w:t>. A slot offset k is configured by RRC for an SRS resource set such that the resources are transmitted in slot n + k. In contrast, in LTE, more flexibility in triggering ap</w:t>
      </w:r>
      <w:r>
        <w:rPr>
          <w:rFonts w:hint="eastAsia" w:eastAsia="宋体"/>
          <w:lang w:val="en-US" w:eastAsia="zh-CN"/>
        </w:rPr>
        <w:t xml:space="preserve">eriodic </w:t>
      </w:r>
      <w:r>
        <w:t>SRS is allowed to compensate for the fact that slot n + k may not always be an UL slot. For NR-U it may be beneficial to introduce this same kind of flexibility, i.e., allowing SRS to be transmitted in the next UL after slot n + k</w:t>
      </w:r>
      <w:r>
        <w:rPr>
          <w:rFonts w:eastAsia="宋体"/>
          <w:lang w:val="en-US" w:eastAsia="zh-CN"/>
        </w:rPr>
        <w:t>.</w:t>
      </w:r>
    </w:p>
    <w:p>
      <w:pPr>
        <w:jc w:val="both"/>
        <w:rPr>
          <w:rFonts w:eastAsia="宋体"/>
          <w:lang w:val="en-US" w:eastAsia="zh-CN"/>
        </w:rPr>
      </w:pPr>
      <w:r>
        <w:rPr>
          <w:rFonts w:eastAsia="宋体"/>
          <w:b/>
          <w:lang w:eastAsia="zh-CN"/>
        </w:rPr>
        <w:t xml:space="preserve">Proposal </w:t>
      </w:r>
      <w:r>
        <w:rPr>
          <w:rFonts w:hint="eastAsia" w:eastAsia="宋体"/>
          <w:b/>
          <w:lang w:val="en-US" w:eastAsia="zh-CN"/>
        </w:rPr>
        <w:t>11</w:t>
      </w:r>
      <w:r>
        <w:rPr>
          <w:rFonts w:eastAsia="宋体"/>
          <w:b/>
          <w:lang w:eastAsia="zh-CN"/>
        </w:rPr>
        <w:t>:</w:t>
      </w:r>
      <w:r>
        <w:rPr>
          <w:rFonts w:hint="eastAsia" w:eastAsia="宋体"/>
          <w:b/>
          <w:lang w:val="en-US" w:eastAsia="zh-CN"/>
        </w:rPr>
        <w:t xml:space="preserve"> </w:t>
      </w:r>
      <w:bookmarkStart w:id="13" w:name="OLE_LINK7"/>
      <w:r>
        <w:rPr>
          <w:rFonts w:hint="eastAsia" w:eastAsia="宋体"/>
          <w:bCs/>
          <w:i/>
          <w:iCs/>
          <w:lang w:val="en-US" w:eastAsia="zh-CN"/>
        </w:rPr>
        <w:t>NR-U should introduce additional flexibility in triggering aperiodic SRS, i.e. allowing SRS to be transmitted in the next UL after slot n+k.</w:t>
      </w:r>
      <w:bookmarkEnd w:id="13"/>
    </w:p>
    <w:p>
      <w:pPr>
        <w:pStyle w:val="2"/>
        <w:ind w:left="448" w:hanging="448"/>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hint="eastAsia" w:eastAsia="宋体"/>
          <w:i/>
          <w:iCs/>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some remaining issues of</w:t>
      </w:r>
      <w:bookmarkStart w:id="20" w:name="_GoBack"/>
      <w:bookmarkEnd w:id="20"/>
      <w:r>
        <w:rPr>
          <w:rFonts w:hint="eastAsia" w:eastAsia="宋体"/>
          <w:lang w:val="en-US" w:eastAsia="zh-CN"/>
        </w:rPr>
        <w:t xml:space="preserve"> UL reference signal design and physical channel design</w:t>
      </w:r>
      <w:r>
        <w:rPr>
          <w:rFonts w:eastAsia="宋体"/>
          <w:lang w:val="en-US" w:eastAsia="zh-CN"/>
        </w:rPr>
        <w:t xml:space="preserve">, and </w:t>
      </w:r>
      <w:r>
        <w:rPr>
          <w:rFonts w:hint="eastAsia" w:eastAsia="宋体"/>
          <w:lang w:val="en-US" w:eastAsia="zh-CN"/>
        </w:rPr>
        <w:t xml:space="preserve">the observation and </w:t>
      </w:r>
      <w:r>
        <w:rPr>
          <w:rFonts w:eastAsia="宋体"/>
          <w:lang w:val="en-US" w:eastAsia="zh-CN"/>
        </w:rPr>
        <w:t>proposal</w:t>
      </w:r>
      <w:r>
        <w:rPr>
          <w:rFonts w:hint="eastAsia" w:eastAsia="宋体"/>
          <w:lang w:val="en-US" w:eastAsia="zh-CN"/>
        </w:rPr>
        <w:t>s are as follows</w:t>
      </w:r>
      <w:r>
        <w:rPr>
          <w:rFonts w:eastAsia="宋体"/>
          <w:lang w:val="en-US" w:eastAsia="zh-CN"/>
        </w:rPr>
        <w:t>:</w:t>
      </w:r>
      <w:r>
        <w:rPr>
          <w:rFonts w:hint="eastAsia" w:eastAsia="宋体"/>
          <w:i/>
          <w:iCs/>
          <w:lang w:val="en-US" w:eastAsia="zh-CN"/>
        </w:rPr>
        <w:t xml:space="preserve"> </w:t>
      </w:r>
    </w:p>
    <w:p>
      <w:pPr>
        <w:rPr>
          <w:rFonts w:hint="eastAsia" w:eastAsia="宋体"/>
          <w:bCs/>
          <w:i/>
          <w:iCs/>
          <w:lang w:val="en-US" w:eastAsia="zh-CN"/>
        </w:rPr>
      </w:pPr>
      <w:r>
        <w:rPr>
          <w:rFonts w:eastAsia="宋体"/>
          <w:b/>
          <w:lang w:eastAsia="zh-CN"/>
        </w:rPr>
        <w:t xml:space="preserve">Proposal </w:t>
      </w:r>
      <w:r>
        <w:rPr>
          <w:rFonts w:hint="eastAsia" w:eastAsia="宋体"/>
          <w:b/>
          <w:lang w:val="en-US" w:eastAsia="zh-CN"/>
        </w:rPr>
        <w:t>1</w:t>
      </w:r>
      <w:r>
        <w:rPr>
          <w:rFonts w:eastAsia="宋体"/>
          <w:b/>
          <w:lang w:eastAsia="zh-CN"/>
        </w:rPr>
        <w:t xml:space="preserve">: </w:t>
      </w:r>
      <w:r>
        <w:rPr>
          <w:rFonts w:hint="eastAsia" w:eastAsia="宋体"/>
          <w:i/>
          <w:iCs/>
          <w:lang w:val="en-US" w:eastAsia="zh-CN"/>
        </w:rPr>
        <w:t xml:space="preserve">For PUSCH resource allocation in frequency domain, </w:t>
      </w:r>
      <w:r>
        <w:rPr>
          <w:rFonts w:hint="eastAsia" w:eastAsia="宋体"/>
          <w:bCs/>
          <w:i/>
          <w:iCs/>
          <w:lang w:val="en-US" w:eastAsia="zh-CN"/>
        </w:rPr>
        <w:t>the scheme of Alt-2 with the same interlace combinations as in LTE eLAA should be supported.</w:t>
      </w:r>
    </w:p>
    <w:p>
      <w:pPr>
        <w:rPr>
          <w:rFonts w:hint="eastAsia" w:eastAsia="宋体"/>
          <w:bCs/>
          <w:i/>
          <w:iCs/>
          <w:lang w:val="en-US" w:eastAsia="zh-CN"/>
        </w:rPr>
      </w:pPr>
      <w:r>
        <w:rPr>
          <w:rFonts w:eastAsia="宋体"/>
          <w:b/>
          <w:lang w:eastAsia="zh-CN"/>
        </w:rPr>
        <w:t xml:space="preserve">Proposal </w:t>
      </w:r>
      <w:r>
        <w:rPr>
          <w:rFonts w:hint="eastAsia" w:eastAsia="宋体"/>
          <w:b/>
          <w:lang w:val="en-US" w:eastAsia="zh-CN"/>
        </w:rPr>
        <w:t>2</w:t>
      </w:r>
      <w:r>
        <w:rPr>
          <w:rFonts w:eastAsia="宋体"/>
          <w:b/>
          <w:lang w:eastAsia="zh-CN"/>
        </w:rPr>
        <w:t xml:space="preserve">: </w:t>
      </w:r>
      <w:r>
        <w:rPr>
          <w:rFonts w:hint="eastAsia" w:eastAsia="宋体"/>
          <w:i/>
          <w:iCs/>
          <w:lang w:val="en-US" w:eastAsia="zh-CN"/>
        </w:rPr>
        <w:t>For the case of PUSCH transmissions after dedicated configuration, support  RRC based configuration only.</w:t>
      </w:r>
    </w:p>
    <w:p>
      <w:pPr>
        <w:jc w:val="both"/>
        <w:rPr>
          <w:rFonts w:eastAsia="宋体"/>
          <w:i/>
          <w:iCs/>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w:t>
      </w:r>
      <w:r>
        <w:rPr>
          <w:rFonts w:hint="eastAsia" w:eastAsia="宋体"/>
          <w:b/>
          <w:lang w:val="en-US" w:eastAsia="zh-CN"/>
        </w:rPr>
        <w:t xml:space="preserve"> </w:t>
      </w:r>
      <w:r>
        <w:rPr>
          <w:rFonts w:eastAsia="宋体"/>
          <w:i/>
          <w:iCs/>
          <w:lang w:val="en-US" w:eastAsia="zh-CN"/>
        </w:rPr>
        <w:t>Multiple</w:t>
      </w:r>
      <w:r>
        <w:rPr>
          <w:rFonts w:eastAsia="MS Mincho"/>
          <w:i/>
          <w:iCs/>
          <w:lang w:eastAsia="ko-KR"/>
        </w:rPr>
        <w:t xml:space="preserve"> </w:t>
      </w:r>
      <w:r>
        <w:rPr>
          <w:rFonts w:hint="eastAsia" w:eastAsia="宋体"/>
          <w:i/>
          <w:iCs/>
          <w:lang w:val="en-US" w:eastAsia="zh-CN"/>
        </w:rPr>
        <w:t xml:space="preserve">candidate </w:t>
      </w:r>
      <w:r>
        <w:rPr>
          <w:rFonts w:eastAsia="MS Mincho"/>
          <w:i/>
          <w:iCs/>
          <w:lang w:eastAsia="ko-KR"/>
        </w:rPr>
        <w:t xml:space="preserve">PUSCH starting positions in a single UL grant </w:t>
      </w:r>
      <w:r>
        <w:rPr>
          <w:rFonts w:eastAsia="宋体"/>
          <w:i/>
          <w:iCs/>
          <w:lang w:val="en-US" w:eastAsia="zh-CN"/>
        </w:rPr>
        <w:t xml:space="preserve">can be </w:t>
      </w:r>
      <w:r>
        <w:rPr>
          <w:rFonts w:eastAsia="MS Mincho"/>
          <w:i/>
          <w:iCs/>
          <w:lang w:eastAsia="ko-KR"/>
        </w:rPr>
        <w:t>supported</w:t>
      </w:r>
      <w:r>
        <w:rPr>
          <w:rFonts w:hint="eastAsia" w:eastAsia="宋体"/>
          <w:i/>
          <w:iCs/>
          <w:lang w:val="en-US" w:eastAsia="zh-CN"/>
        </w:rPr>
        <w:t xml:space="preserve"> in one slot, such as symbol </w:t>
      </w:r>
      <w:r>
        <w:rPr>
          <w:rFonts w:eastAsia="宋体"/>
          <w:i/>
          <w:iCs/>
          <w:lang w:val="en-US" w:eastAsia="zh-CN"/>
        </w:rPr>
        <w:t>#</w:t>
      </w:r>
      <w:r>
        <w:rPr>
          <w:rFonts w:hint="eastAsia" w:eastAsia="宋体"/>
          <w:i/>
          <w:iCs/>
          <w:lang w:val="en-US" w:eastAsia="zh-CN"/>
        </w:rPr>
        <w:t>0,</w:t>
      </w:r>
      <w:r>
        <w:rPr>
          <w:rFonts w:eastAsia="宋体"/>
          <w:i/>
          <w:iCs/>
          <w:lang w:val="en-US" w:eastAsia="zh-CN"/>
        </w:rPr>
        <w:t xml:space="preserve"> #</w:t>
      </w:r>
      <w:r>
        <w:rPr>
          <w:rFonts w:hint="eastAsia" w:eastAsia="宋体"/>
          <w:i/>
          <w:iCs/>
          <w:lang w:val="en-US" w:eastAsia="zh-CN"/>
        </w:rPr>
        <w:t>1,</w:t>
      </w:r>
      <w:r>
        <w:rPr>
          <w:rFonts w:eastAsia="宋体"/>
          <w:i/>
          <w:iCs/>
          <w:lang w:val="en-US" w:eastAsia="zh-CN"/>
        </w:rPr>
        <w:t xml:space="preserve"> #</w:t>
      </w:r>
      <w:r>
        <w:rPr>
          <w:rFonts w:hint="eastAsia" w:eastAsia="宋体"/>
          <w:i/>
          <w:iCs/>
          <w:lang w:val="en-US" w:eastAsia="zh-CN"/>
        </w:rPr>
        <w:t>2,</w:t>
      </w:r>
      <w:r>
        <w:rPr>
          <w:rFonts w:eastAsia="宋体"/>
          <w:i/>
          <w:iCs/>
          <w:lang w:val="en-US" w:eastAsia="zh-CN"/>
        </w:rPr>
        <w:t xml:space="preserve"> #</w:t>
      </w:r>
      <w:r>
        <w:rPr>
          <w:rFonts w:hint="eastAsia" w:eastAsia="宋体"/>
          <w:i/>
          <w:iCs/>
          <w:lang w:val="en-US" w:eastAsia="zh-CN"/>
        </w:rPr>
        <w:t>3,</w:t>
      </w:r>
      <w:r>
        <w:rPr>
          <w:rFonts w:eastAsia="宋体"/>
          <w:i/>
          <w:iCs/>
          <w:lang w:val="en-US" w:eastAsia="zh-CN"/>
        </w:rPr>
        <w:t xml:space="preserve"> #</w:t>
      </w:r>
      <w:r>
        <w:rPr>
          <w:rFonts w:hint="eastAsia" w:eastAsia="宋体"/>
          <w:i/>
          <w:iCs/>
          <w:lang w:val="en-US" w:eastAsia="zh-CN"/>
        </w:rPr>
        <w:t>7,</w:t>
      </w:r>
      <w:r>
        <w:rPr>
          <w:rFonts w:eastAsia="宋体"/>
          <w:i/>
          <w:iCs/>
          <w:lang w:val="en-US" w:eastAsia="zh-CN"/>
        </w:rPr>
        <w:t xml:space="preserve"> #</w:t>
      </w:r>
      <w:r>
        <w:rPr>
          <w:rFonts w:hint="eastAsia" w:eastAsia="宋体"/>
          <w:i/>
          <w:iCs/>
          <w:lang w:val="en-US" w:eastAsia="zh-CN"/>
        </w:rPr>
        <w:t>10</w:t>
      </w:r>
      <w:r>
        <w:rPr>
          <w:rFonts w:eastAsia="宋体"/>
          <w:i/>
          <w:iCs/>
          <w:lang w:val="en-US" w:eastAsia="zh-CN"/>
        </w:rPr>
        <w:t xml:space="preserve">. </w:t>
      </w:r>
    </w:p>
    <w:p>
      <w:pPr>
        <w:jc w:val="both"/>
        <w:rPr>
          <w:rFonts w:hint="eastAsia" w:eastAsia="宋体"/>
          <w:i w:val="0"/>
          <w:iCs w:val="0"/>
          <w:lang w:val="en-US" w:eastAsia="zh-CN"/>
        </w:rPr>
      </w:pPr>
      <w:r>
        <w:rPr>
          <w:rFonts w:eastAsia="宋体"/>
          <w:b/>
          <w:lang w:eastAsia="zh-CN"/>
        </w:rPr>
        <w:t xml:space="preserve">Proposal </w:t>
      </w:r>
      <w:r>
        <w:rPr>
          <w:rFonts w:hint="eastAsia" w:eastAsia="宋体"/>
          <w:b/>
          <w:lang w:val="en-US" w:eastAsia="zh-CN"/>
        </w:rPr>
        <w:t>4</w:t>
      </w:r>
      <w:r>
        <w:rPr>
          <w:rFonts w:eastAsia="宋体"/>
          <w:b/>
          <w:lang w:eastAsia="zh-CN"/>
        </w:rPr>
        <w:t xml:space="preserve">: </w:t>
      </w:r>
      <w:r>
        <w:rPr>
          <w:rFonts w:hint="eastAsia" w:eastAsia="宋体"/>
          <w:i/>
          <w:iCs/>
          <w:lang w:val="en-US" w:eastAsia="zh-CN"/>
        </w:rPr>
        <w:t>For cycling of cyclic shifts across PRBs of one interlace, the order of descending or ascending, i.e, step size of 1 or 11 can be considered considering the performance and specification complexity.</w:t>
      </w:r>
    </w:p>
    <w:p>
      <w:pPr>
        <w:pStyle w:val="16"/>
        <w:overflowPunct w:val="0"/>
        <w:autoSpaceDE w:val="0"/>
        <w:autoSpaceDN w:val="0"/>
        <w:adjustRightInd w:val="0"/>
        <w:spacing w:after="0" w:line="259" w:lineRule="auto"/>
        <w:jc w:val="both"/>
        <w:textAlignment w:val="baseline"/>
        <w:rPr>
          <w:rFonts w:hint="eastAsia" w:eastAsia="宋体"/>
          <w:i/>
          <w:iCs/>
          <w:lang w:val="en-US" w:eastAsia="zh-CN"/>
        </w:rPr>
      </w:pPr>
      <w:r>
        <w:rPr>
          <w:rFonts w:eastAsia="宋体"/>
          <w:b/>
          <w:lang w:eastAsia="zh-CN"/>
        </w:rPr>
        <w:t xml:space="preserve">Proposal </w:t>
      </w:r>
      <w:r>
        <w:rPr>
          <w:rFonts w:hint="eastAsia" w:eastAsia="宋体"/>
          <w:b/>
          <w:lang w:val="en-US" w:eastAsia="zh-CN"/>
        </w:rPr>
        <w:t>5</w:t>
      </w:r>
      <w:r>
        <w:rPr>
          <w:rFonts w:eastAsia="宋体"/>
          <w:b/>
          <w:lang w:eastAsia="zh-CN"/>
        </w:rPr>
        <w:t>:</w:t>
      </w:r>
      <w:r>
        <w:rPr>
          <w:rFonts w:hint="eastAsia" w:eastAsia="宋体"/>
          <w:b/>
          <w:lang w:val="en-US" w:eastAsia="zh-CN"/>
        </w:rPr>
        <w:t xml:space="preserve"> </w:t>
      </w:r>
      <w:r>
        <w:rPr>
          <w:rFonts w:hint="eastAsia" w:eastAsia="宋体"/>
          <w:i/>
          <w:iCs/>
          <w:lang w:val="en-US" w:eastAsia="zh-CN"/>
        </w:rPr>
        <w:t xml:space="preserve">When two interlaces are configured: </w:t>
      </w:r>
    </w:p>
    <w:p>
      <w:pPr>
        <w:pStyle w:val="16"/>
        <w:numPr>
          <w:ilvl w:val="0"/>
          <w:numId w:val="22"/>
        </w:numPr>
        <w:overflowPunct w:val="0"/>
        <w:autoSpaceDE w:val="0"/>
        <w:autoSpaceDN w:val="0"/>
        <w:adjustRightInd w:val="0"/>
        <w:spacing w:after="0" w:line="259" w:lineRule="auto"/>
        <w:ind w:left="420" w:hanging="420"/>
        <w:jc w:val="both"/>
        <w:textAlignment w:val="baseline"/>
        <w:rPr>
          <w:rFonts w:hint="eastAsia" w:eastAsia="宋体"/>
          <w:i/>
          <w:iCs/>
          <w:lang w:val="en-US" w:eastAsia="zh-CN"/>
        </w:rPr>
      </w:pPr>
      <w:r>
        <w:rPr>
          <w:rFonts w:hint="eastAsia" w:eastAsia="宋体"/>
          <w:i/>
          <w:iCs/>
          <w:lang w:val="en-US" w:eastAsia="zh-CN"/>
        </w:rPr>
        <w:t>The second interlace can be configured next to the first one for the sake of simplicity.</w:t>
      </w:r>
    </w:p>
    <w:p>
      <w:pPr>
        <w:pStyle w:val="16"/>
        <w:numPr>
          <w:ilvl w:val="0"/>
          <w:numId w:val="22"/>
        </w:numPr>
        <w:overflowPunct w:val="0"/>
        <w:autoSpaceDE w:val="0"/>
        <w:autoSpaceDN w:val="0"/>
        <w:adjustRightInd w:val="0"/>
        <w:spacing w:after="137" w:afterLines="50" w:line="260" w:lineRule="auto"/>
        <w:ind w:left="420" w:hanging="420"/>
        <w:jc w:val="both"/>
        <w:textAlignment w:val="baseline"/>
        <w:rPr>
          <w:rFonts w:hint="eastAsia" w:eastAsia="宋体"/>
          <w:lang w:val="en-US" w:eastAsia="zh-CN"/>
        </w:rPr>
      </w:pPr>
      <w:r>
        <w:rPr>
          <w:rFonts w:hint="eastAsia" w:eastAsia="宋体"/>
          <w:i/>
          <w:iCs/>
          <w:lang w:val="en-US" w:eastAsia="zh-CN"/>
        </w:rPr>
        <w:t>If only one of two interlaces is needed, the first interlace can be chosen, which is similar to the rule of PUCCH format 2/3 resource allocation.</w:t>
      </w:r>
    </w:p>
    <w:p>
      <w:pPr>
        <w:numPr>
          <w:ilvl w:val="-1"/>
          <w:numId w:val="0"/>
        </w:numPr>
        <w:ind w:left="0" w:firstLine="0"/>
        <w:jc w:val="both"/>
        <w:rPr>
          <w:rFonts w:eastAsia="宋体"/>
          <w:b/>
          <w:lang w:eastAsia="zh-CN"/>
        </w:rPr>
      </w:pPr>
      <w:r>
        <w:rPr>
          <w:rFonts w:eastAsia="宋体"/>
          <w:b/>
          <w:lang w:eastAsia="zh-CN"/>
        </w:rPr>
        <w:t xml:space="preserve">Proposal </w:t>
      </w:r>
      <w:r>
        <w:rPr>
          <w:rFonts w:hint="eastAsia" w:eastAsia="宋体"/>
          <w:b/>
          <w:lang w:val="en-US" w:eastAsia="zh-CN"/>
        </w:rPr>
        <w:t>6</w:t>
      </w:r>
      <w:r>
        <w:rPr>
          <w:rFonts w:eastAsia="宋体"/>
          <w:b/>
          <w:lang w:eastAsia="zh-CN"/>
        </w:rPr>
        <w:t xml:space="preserve">: </w:t>
      </w:r>
      <w:r>
        <w:rPr>
          <w:rFonts w:hint="eastAsia" w:eastAsia="宋体"/>
          <w:b w:val="0"/>
          <w:bCs/>
          <w:i/>
          <w:iCs/>
          <w:lang w:val="en-US" w:eastAsia="zh-CN"/>
        </w:rPr>
        <w:t xml:space="preserve">In order to improve resource usage, </w:t>
      </w:r>
      <w:r>
        <w:rPr>
          <w:rFonts w:hint="eastAsia" w:eastAsia="宋体"/>
          <w:bCs/>
          <w:i/>
          <w:iCs/>
          <w:sz w:val="20"/>
          <w:szCs w:val="22"/>
          <w:lang w:val="en-US" w:eastAsia="zh-CN"/>
        </w:rPr>
        <w:t>,</w:t>
      </w:r>
      <w:r>
        <w:rPr>
          <w:rFonts w:hint="eastAsia" w:eastAsia="宋体"/>
          <w:i/>
          <w:iCs/>
          <w:sz w:val="20"/>
          <w:szCs w:val="22"/>
          <w:lang w:val="en-US" w:eastAsia="zh-CN"/>
        </w:rPr>
        <w:t>the block wise spreading should be supported for enhanced PF3, which has been supported in Rel-15 NR PF4. and the DMRS for PF3 can use the similar way as that of Rel-15 NR PF4.</w:t>
      </w:r>
    </w:p>
    <w:p>
      <w:pPr>
        <w:numPr>
          <w:ilvl w:val="-1"/>
          <w:numId w:val="0"/>
        </w:numPr>
        <w:spacing w:after="0" w:line="260" w:lineRule="auto"/>
        <w:ind w:left="0" w:firstLine="0"/>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7</w:t>
      </w:r>
      <w:r>
        <w:rPr>
          <w:rFonts w:eastAsia="宋体"/>
          <w:b/>
          <w:lang w:eastAsia="zh-CN"/>
        </w:rPr>
        <w:t>:</w:t>
      </w:r>
      <w:r>
        <w:rPr>
          <w:rFonts w:hint="eastAsia" w:eastAsia="宋体"/>
          <w:b/>
          <w:lang w:val="en-US" w:eastAsia="zh-CN"/>
        </w:rPr>
        <w:t xml:space="preserve"> </w:t>
      </w:r>
      <w:r>
        <w:rPr>
          <w:rFonts w:hint="eastAsia" w:eastAsia="宋体"/>
          <w:bCs/>
          <w:i/>
          <w:iCs/>
          <w:lang w:val="en-US" w:eastAsia="zh-CN"/>
        </w:rPr>
        <w:t>In order to support partial interlace for PUSCH/PUCCH transmission, below two methods can be considered:</w:t>
      </w:r>
    </w:p>
    <w:p>
      <w:pPr>
        <w:numPr>
          <w:ilvl w:val="0"/>
          <w:numId w:val="23"/>
        </w:numPr>
        <w:spacing w:after="0" w:line="260" w:lineRule="auto"/>
        <w:ind w:left="420" w:hanging="420"/>
        <w:jc w:val="left"/>
        <w:rPr>
          <w:rFonts w:hint="eastAsia" w:eastAsia="宋体"/>
          <w:bCs/>
          <w:i/>
          <w:iCs/>
          <w:lang w:val="en-US" w:eastAsia="zh-CN"/>
        </w:rPr>
      </w:pPr>
      <w:r>
        <w:rPr>
          <w:rFonts w:hint="eastAsia" w:eastAsia="宋体"/>
          <w:bCs/>
          <w:i/>
          <w:iCs/>
          <w:lang w:val="en-US" w:eastAsia="zh-CN"/>
        </w:rPr>
        <w:t xml:space="preserve">Alt 1:Indicating allocated interlace(s) and sub-band(s) in the frequency domain resource assignment  scheme </w:t>
      </w:r>
    </w:p>
    <w:p>
      <w:pPr>
        <w:numPr>
          <w:ilvl w:val="0"/>
          <w:numId w:val="23"/>
        </w:numPr>
        <w:spacing w:after="0" w:line="260" w:lineRule="auto"/>
        <w:ind w:left="420" w:hanging="420"/>
        <w:jc w:val="left"/>
        <w:rPr>
          <w:rFonts w:hint="eastAsia" w:eastAsia="宋体"/>
          <w:bCs/>
          <w:i/>
          <w:iCs/>
          <w:lang w:val="en-US" w:eastAsia="zh-CN"/>
        </w:rPr>
      </w:pPr>
      <w:r>
        <w:rPr>
          <w:rFonts w:hint="eastAsia" w:eastAsia="宋体"/>
          <w:bCs/>
          <w:i/>
          <w:iCs/>
          <w:lang w:val="en-US" w:eastAsia="zh-CN"/>
        </w:rPr>
        <w:t xml:space="preserve">Alt 2: Indicating allocated interlace(s) and the </w:t>
      </w:r>
      <w:r>
        <w:rPr>
          <w:rFonts w:hint="eastAsia"/>
          <w:i/>
          <w:iCs/>
          <w:lang w:val="en-US" w:eastAsia="zh-CN"/>
        </w:rPr>
        <w:t>starting PRB index or the offset value of the first PRB of the BWP and the PRB number.</w:t>
      </w:r>
    </w:p>
    <w:p>
      <w:pPr>
        <w:spacing w:before="137" w:beforeLines="50" w:line="260" w:lineRule="auto"/>
        <w:rPr>
          <w:rFonts w:hint="eastAsia" w:eastAsia="宋体"/>
          <w:i/>
          <w:iCs/>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w:t>
      </w:r>
      <w:r>
        <w:rPr>
          <w:rFonts w:hint="eastAsia" w:eastAsia="宋体"/>
          <w:b/>
          <w:lang w:val="en-US" w:eastAsia="zh-CN"/>
        </w:rPr>
        <w:t xml:space="preserve"> </w:t>
      </w:r>
      <w:r>
        <w:rPr>
          <w:i/>
          <w:iCs/>
        </w:rPr>
        <w:t xml:space="preserve">PRB block interlace design </w:t>
      </w:r>
      <w:r>
        <w:rPr>
          <w:rFonts w:hint="eastAsia" w:eastAsia="宋体"/>
          <w:i/>
          <w:iCs/>
          <w:lang w:val="en-US" w:eastAsia="zh-CN"/>
        </w:rPr>
        <w:t>for 60</w:t>
      </w:r>
      <w:r>
        <w:rPr>
          <w:rFonts w:eastAsia="宋体"/>
          <w:i/>
          <w:iCs/>
          <w:lang w:val="en-US" w:eastAsia="zh-CN"/>
        </w:rPr>
        <w:t xml:space="preserve"> </w:t>
      </w:r>
      <w:r>
        <w:rPr>
          <w:rFonts w:hint="eastAsia" w:eastAsia="宋体"/>
          <w:i/>
          <w:iCs/>
          <w:lang w:val="en-US" w:eastAsia="zh-CN"/>
        </w:rPr>
        <w:t xml:space="preserve">kHz is </w:t>
      </w:r>
      <w:r>
        <w:rPr>
          <w:i/>
          <w:iCs/>
        </w:rPr>
        <w:t>not supported for PUSCH and PUCCH</w:t>
      </w:r>
      <w:r>
        <w:rPr>
          <w:rFonts w:hint="eastAsia" w:eastAsia="宋体"/>
          <w:i/>
          <w:iCs/>
          <w:lang w:val="en-US" w:eastAsia="zh-CN"/>
        </w:rPr>
        <w:t xml:space="preserve">. </w:t>
      </w:r>
    </w:p>
    <w:p>
      <w:pPr>
        <w:pStyle w:val="16"/>
        <w:spacing w:before="137" w:beforeLines="50" w:after="137" w:afterLines="50" w:line="260" w:lineRule="auto"/>
        <w:jc w:val="both"/>
        <w:rPr>
          <w:rFonts w:eastAsia="宋体"/>
          <w:i/>
          <w:iCs/>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eastAsia="宋体"/>
          <w:i/>
          <w:iCs/>
          <w:lang w:val="en-US" w:eastAsia="zh-CN"/>
        </w:rPr>
        <w:t>Only</w:t>
      </w:r>
      <w:r>
        <w:rPr>
          <w:i/>
          <w:iCs/>
        </w:rPr>
        <w:t xml:space="preserve"> CP-OFDM </w:t>
      </w:r>
      <w:r>
        <w:rPr>
          <w:rFonts w:hint="eastAsia" w:eastAsia="宋体"/>
          <w:i/>
          <w:iCs/>
          <w:lang w:val="en-US" w:eastAsia="zh-CN"/>
        </w:rPr>
        <w:t xml:space="preserve">waveform is </w:t>
      </w:r>
      <w:r>
        <w:rPr>
          <w:i/>
          <w:iCs/>
        </w:rPr>
        <w:t>supported for interlaced PUSCH</w:t>
      </w:r>
      <w:r>
        <w:rPr>
          <w:rFonts w:hint="eastAsia" w:eastAsia="宋体"/>
          <w:i/>
          <w:iCs/>
          <w:lang w:val="en-US" w:eastAsia="zh-CN"/>
        </w:rPr>
        <w:t xml:space="preserve"> </w:t>
      </w:r>
      <w:r>
        <w:rPr>
          <w:i/>
          <w:iCs/>
        </w:rPr>
        <w:t>transmission</w:t>
      </w:r>
      <w:r>
        <w:rPr>
          <w:rFonts w:hint="eastAsia" w:eastAsia="宋体"/>
          <w:i/>
          <w:iCs/>
          <w:lang w:val="en-US" w:eastAsia="zh-CN"/>
        </w:rPr>
        <w:t>.</w:t>
      </w:r>
    </w:p>
    <w:p>
      <w:pPr>
        <w:spacing w:before="137" w:beforeLines="50" w:after="137" w:afterLines="50" w:line="260" w:lineRule="auto"/>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10</w:t>
      </w:r>
      <w:r>
        <w:rPr>
          <w:rFonts w:eastAsia="宋体"/>
          <w:b/>
          <w:lang w:eastAsia="zh-CN"/>
        </w:rPr>
        <w:t>:</w:t>
      </w:r>
      <w:r>
        <w:rPr>
          <w:rFonts w:hint="eastAsia" w:eastAsia="宋体"/>
          <w:b/>
          <w:lang w:val="en-US" w:eastAsia="zh-CN"/>
        </w:rPr>
        <w:t xml:space="preserve"> </w:t>
      </w:r>
      <w:r>
        <w:rPr>
          <w:rFonts w:hint="eastAsia" w:eastAsia="宋体"/>
          <w:bCs/>
          <w:i/>
          <w:iCs/>
          <w:lang w:val="en-US" w:eastAsia="zh-CN"/>
        </w:rPr>
        <w:t>The waveform of Rel-15 NR SRS can be reused for NR-U SRS. NR-U does not need to support interlaced SRS transmission and frequency domain multiplexing of SRS with PUSCH/PUCCH.</w:t>
      </w:r>
    </w:p>
    <w:p>
      <w:pPr>
        <w:jc w:val="both"/>
        <w:rPr>
          <w:rFonts w:eastAsia="宋体"/>
          <w:lang w:val="en-US" w:eastAsia="zh-CN"/>
        </w:rPr>
      </w:pPr>
      <w:r>
        <w:rPr>
          <w:rFonts w:eastAsia="宋体"/>
          <w:b/>
          <w:lang w:eastAsia="zh-CN"/>
        </w:rPr>
        <w:t xml:space="preserve">Proposal </w:t>
      </w:r>
      <w:r>
        <w:rPr>
          <w:rFonts w:hint="eastAsia" w:eastAsia="宋体"/>
          <w:b/>
          <w:lang w:val="en-US" w:eastAsia="zh-CN"/>
        </w:rPr>
        <w:t>11</w:t>
      </w:r>
      <w:r>
        <w:rPr>
          <w:rFonts w:eastAsia="宋体"/>
          <w:b/>
          <w:lang w:eastAsia="zh-CN"/>
        </w:rPr>
        <w:t>:</w:t>
      </w:r>
      <w:r>
        <w:rPr>
          <w:rFonts w:hint="eastAsia" w:eastAsia="宋体"/>
          <w:b/>
          <w:lang w:val="en-US" w:eastAsia="zh-CN"/>
        </w:rPr>
        <w:t xml:space="preserve"> </w:t>
      </w:r>
      <w:r>
        <w:rPr>
          <w:rFonts w:hint="eastAsia" w:eastAsia="宋体"/>
          <w:bCs/>
          <w:i/>
          <w:iCs/>
          <w:lang w:val="en-US" w:eastAsia="zh-CN"/>
        </w:rPr>
        <w:t>NR-U should introduce additional flexibility in triggering aperiodic SRS, i.e. allowing SRS to be transmitted in the next UL after slot n+k.</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p>
      <w:pPr>
        <w:pStyle w:val="126"/>
      </w:pPr>
      <w:bookmarkStart w:id="14" w:name="_Ref331106417"/>
      <w:bookmarkStart w:id="15" w:name="_Ref345149415"/>
      <w:bookmarkStart w:id="16" w:name="_Ref377803896"/>
      <w:bookmarkStart w:id="17" w:name="_Ref510109017"/>
      <w:bookmarkStart w:id="18" w:name="_Ref351725474"/>
      <w:r>
        <w:t>RAN Chairman’s Notes, 3GPP TSG RAN Meeting #9</w:t>
      </w:r>
      <w:r>
        <w:rPr>
          <w:rFonts w:hint="eastAsia" w:eastAsia="宋体"/>
          <w:lang w:val="en-US" w:eastAsia="zh-CN"/>
        </w:rPr>
        <w:t>8b</w:t>
      </w:r>
      <w:r>
        <w:t xml:space="preserve">, </w:t>
      </w:r>
      <w:r>
        <w:rPr>
          <w:rFonts w:hint="eastAsia" w:eastAsia="宋体"/>
          <w:lang w:val="en-US" w:eastAsia="zh-CN"/>
        </w:rPr>
        <w:t>ChongQing</w:t>
      </w:r>
      <w:r>
        <w:t xml:space="preserve">, </w:t>
      </w:r>
      <w:r>
        <w:rPr>
          <w:rFonts w:hint="eastAsia" w:eastAsia="宋体"/>
          <w:lang w:val="en-US" w:eastAsia="zh-CN"/>
        </w:rPr>
        <w:t>CN</w:t>
      </w:r>
      <w:r>
        <w:t xml:space="preserve">, </w:t>
      </w:r>
      <w:r>
        <w:rPr>
          <w:rFonts w:hint="eastAsia" w:eastAsia="宋体"/>
          <w:lang w:val="en-US" w:eastAsia="zh-CN"/>
        </w:rPr>
        <w:t>October</w:t>
      </w:r>
      <w:r>
        <w:t xml:space="preserve"> </w:t>
      </w:r>
      <w:r>
        <w:rPr>
          <w:rFonts w:hint="eastAsia"/>
          <w:lang w:val="en-US" w:eastAsia="zh-CN"/>
        </w:rPr>
        <w:t>14</w:t>
      </w:r>
      <w:r>
        <w:t xml:space="preserve"> – 1</w:t>
      </w:r>
      <w:r>
        <w:rPr>
          <w:rFonts w:hint="eastAsia" w:eastAsia="宋体"/>
          <w:lang w:val="en-US" w:eastAsia="zh-CN"/>
        </w:rPr>
        <w:t>8</w:t>
      </w:r>
      <w:r>
        <w:t>, 2019.</w:t>
      </w:r>
    </w:p>
    <w:p>
      <w:pPr>
        <w:pStyle w:val="126"/>
      </w:pPr>
      <w:r>
        <w:t>RAN Chairman’s Notes, 3GPP TSG RAN Meeting #9</w:t>
      </w:r>
      <w:r>
        <w:rPr>
          <w:rFonts w:hint="eastAsia" w:eastAsia="宋体"/>
          <w:lang w:val="en-US" w:eastAsia="zh-CN"/>
        </w:rPr>
        <w:t>8</w:t>
      </w:r>
      <w:r>
        <w:t xml:space="preserve">, </w:t>
      </w:r>
      <w:r>
        <w:rPr>
          <w:rFonts w:hint="eastAsia" w:eastAsia="宋体"/>
          <w:lang w:val="en-US" w:eastAsia="zh-CN"/>
        </w:rPr>
        <w:t>Prague</w:t>
      </w:r>
      <w:r>
        <w:t xml:space="preserve">, </w:t>
      </w:r>
      <w:r>
        <w:rPr>
          <w:rFonts w:hint="eastAsia" w:eastAsia="宋体"/>
          <w:lang w:val="en-US" w:eastAsia="zh-CN"/>
        </w:rPr>
        <w:t>CZ</w:t>
      </w:r>
      <w:r>
        <w:t xml:space="preserve">, </w:t>
      </w:r>
      <w:r>
        <w:rPr>
          <w:rFonts w:hint="eastAsia"/>
          <w:lang w:val="en-US" w:eastAsia="zh-CN"/>
        </w:rPr>
        <w:t>May</w:t>
      </w:r>
      <w:r>
        <w:t xml:space="preserve"> </w:t>
      </w:r>
      <w:r>
        <w:rPr>
          <w:rFonts w:hint="eastAsia"/>
          <w:lang w:val="en-US" w:eastAsia="zh-CN"/>
        </w:rPr>
        <w:t>13</w:t>
      </w:r>
      <w:r>
        <w:t xml:space="preserve"> – 1</w:t>
      </w:r>
      <w:r>
        <w:rPr>
          <w:rFonts w:hint="eastAsia"/>
          <w:lang w:val="en-US" w:eastAsia="zh-CN"/>
        </w:rPr>
        <w:t>7</w:t>
      </w:r>
      <w:r>
        <w:t>, 2019.</w:t>
      </w:r>
      <w:bookmarkEnd w:id="14"/>
      <w:bookmarkEnd w:id="15"/>
      <w:bookmarkEnd w:id="16"/>
      <w:bookmarkEnd w:id="17"/>
      <w:bookmarkEnd w:id="18"/>
    </w:p>
    <w:p>
      <w:pPr>
        <w:pStyle w:val="126"/>
        <w:widowControl/>
        <w:autoSpaceDE/>
        <w:autoSpaceDN/>
        <w:adjustRightInd/>
        <w:spacing w:after="60" w:line="259" w:lineRule="auto"/>
        <w:jc w:val="left"/>
        <w:rPr>
          <w:rFonts w:eastAsia="宋体"/>
          <w:lang w:val="en-US" w:eastAsia="zh-CN"/>
        </w:rPr>
      </w:pPr>
      <w:bookmarkStart w:id="19" w:name="OLE_LINK4"/>
      <w:r>
        <w:rPr>
          <w:rFonts w:hint="eastAsia"/>
        </w:rPr>
        <w:t>R1-1908204 considerations on UL reference signals and channels design for NR-U</w:t>
      </w:r>
      <w:r>
        <w:t>, 3GPP TSG RAN Meeting #9</w:t>
      </w:r>
      <w:r>
        <w:rPr>
          <w:rFonts w:hint="eastAsia" w:eastAsia="宋体"/>
          <w:lang w:val="en-US" w:eastAsia="zh-CN"/>
        </w:rPr>
        <w:t>8</w:t>
      </w:r>
      <w:r>
        <w:t xml:space="preserve">, </w:t>
      </w:r>
      <w:r>
        <w:rPr>
          <w:rFonts w:hint="eastAsia" w:eastAsia="宋体"/>
          <w:lang w:val="en-US" w:eastAsia="zh-CN"/>
        </w:rPr>
        <w:t>Prague</w:t>
      </w:r>
      <w:r>
        <w:t xml:space="preserve">, </w:t>
      </w:r>
      <w:r>
        <w:rPr>
          <w:rFonts w:hint="eastAsia" w:eastAsia="宋体"/>
          <w:lang w:val="en-US" w:eastAsia="zh-CN"/>
        </w:rPr>
        <w:t>CZ</w:t>
      </w:r>
      <w:r>
        <w:t xml:space="preserve">, </w:t>
      </w:r>
      <w:r>
        <w:rPr>
          <w:rFonts w:hint="eastAsia"/>
          <w:lang w:val="en-US" w:eastAsia="zh-CN"/>
        </w:rPr>
        <w:t>May</w:t>
      </w:r>
      <w:r>
        <w:t xml:space="preserve"> </w:t>
      </w:r>
      <w:r>
        <w:rPr>
          <w:rFonts w:hint="eastAsia"/>
          <w:lang w:val="en-US" w:eastAsia="zh-CN"/>
        </w:rPr>
        <w:t>13</w:t>
      </w:r>
      <w:r>
        <w:t xml:space="preserve"> – 1</w:t>
      </w:r>
      <w:r>
        <w:rPr>
          <w:rFonts w:hint="eastAsia"/>
          <w:lang w:val="en-US" w:eastAsia="zh-CN"/>
        </w:rPr>
        <w:t>7</w:t>
      </w:r>
      <w:r>
        <w:t>, 2019.</w:t>
      </w:r>
      <w:bookmarkEnd w:id="0"/>
      <w:bookmarkEnd w:id="19"/>
    </w:p>
    <w:sectPr>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5762DC8"/>
    <w:multiLevelType w:val="multilevel"/>
    <w:tmpl w:val="05762DC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B392DD4"/>
    <w:multiLevelType w:val="multilevel"/>
    <w:tmpl w:val="0B392DD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103330CB"/>
    <w:multiLevelType w:val="multilevel"/>
    <w:tmpl w:val="103330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B7D24F0"/>
    <w:multiLevelType w:val="multilevel"/>
    <w:tmpl w:val="2B7D24F0"/>
    <w:lvl w:ilvl="0" w:tentative="0">
      <w:start w:val="1"/>
      <w:numFmt w:val="bullet"/>
      <w:lvlText w:val=""/>
      <w:lvlJc w:val="left"/>
      <w:pPr>
        <w:ind w:left="-414" w:hanging="360"/>
      </w:pPr>
      <w:rPr>
        <w:rFonts w:hint="default" w:ascii="Symbol" w:hAnsi="Symbol"/>
      </w:rPr>
    </w:lvl>
    <w:lvl w:ilvl="1" w:tentative="0">
      <w:start w:val="1"/>
      <w:numFmt w:val="bullet"/>
      <w:lvlText w:val="o"/>
      <w:lvlJc w:val="left"/>
      <w:pPr>
        <w:ind w:left="306" w:hanging="360"/>
      </w:pPr>
      <w:rPr>
        <w:rFonts w:hint="default" w:ascii="Courier New" w:hAnsi="Courier New" w:cs="Courier New"/>
      </w:rPr>
    </w:lvl>
    <w:lvl w:ilvl="2" w:tentative="0">
      <w:start w:val="1"/>
      <w:numFmt w:val="bullet"/>
      <w:lvlText w:val=""/>
      <w:lvlJc w:val="left"/>
      <w:pPr>
        <w:ind w:left="1026" w:hanging="360"/>
      </w:pPr>
      <w:rPr>
        <w:rFonts w:hint="default" w:ascii="Wingdings" w:hAnsi="Wingdings"/>
      </w:rPr>
    </w:lvl>
    <w:lvl w:ilvl="3" w:tentative="0">
      <w:start w:val="1"/>
      <w:numFmt w:val="bullet"/>
      <w:lvlText w:val=""/>
      <w:lvlJc w:val="left"/>
      <w:pPr>
        <w:ind w:left="1746" w:hanging="360"/>
      </w:pPr>
      <w:rPr>
        <w:rFonts w:hint="default" w:ascii="Symbol" w:hAnsi="Symbol"/>
      </w:rPr>
    </w:lvl>
    <w:lvl w:ilvl="4" w:tentative="0">
      <w:start w:val="1"/>
      <w:numFmt w:val="bullet"/>
      <w:lvlText w:val="o"/>
      <w:lvlJc w:val="left"/>
      <w:pPr>
        <w:ind w:left="2466" w:hanging="360"/>
      </w:pPr>
      <w:rPr>
        <w:rFonts w:hint="default" w:ascii="Courier New" w:hAnsi="Courier New" w:cs="Courier New"/>
      </w:rPr>
    </w:lvl>
    <w:lvl w:ilvl="5" w:tentative="0">
      <w:start w:val="1"/>
      <w:numFmt w:val="bullet"/>
      <w:lvlText w:val=""/>
      <w:lvlJc w:val="left"/>
      <w:pPr>
        <w:ind w:left="3186" w:hanging="360"/>
      </w:pPr>
      <w:rPr>
        <w:rFonts w:hint="default" w:ascii="Wingdings" w:hAnsi="Wingdings"/>
      </w:rPr>
    </w:lvl>
    <w:lvl w:ilvl="6" w:tentative="0">
      <w:start w:val="1"/>
      <w:numFmt w:val="bullet"/>
      <w:lvlText w:val=""/>
      <w:lvlJc w:val="left"/>
      <w:pPr>
        <w:ind w:left="3906" w:hanging="360"/>
      </w:pPr>
      <w:rPr>
        <w:rFonts w:hint="default" w:ascii="Symbol" w:hAnsi="Symbol"/>
      </w:rPr>
    </w:lvl>
    <w:lvl w:ilvl="7" w:tentative="0">
      <w:start w:val="1"/>
      <w:numFmt w:val="bullet"/>
      <w:lvlText w:val="o"/>
      <w:lvlJc w:val="left"/>
      <w:pPr>
        <w:ind w:left="4626" w:hanging="360"/>
      </w:pPr>
      <w:rPr>
        <w:rFonts w:hint="default" w:ascii="Courier New" w:hAnsi="Courier New" w:cs="Courier New"/>
      </w:rPr>
    </w:lvl>
    <w:lvl w:ilvl="8" w:tentative="0">
      <w:start w:val="1"/>
      <w:numFmt w:val="bullet"/>
      <w:lvlText w:val=""/>
      <w:lvlJc w:val="left"/>
      <w:pPr>
        <w:ind w:left="5346" w:hanging="360"/>
      </w:pPr>
      <w:rPr>
        <w:rFonts w:hint="default" w:ascii="Wingdings" w:hAnsi="Wingdings"/>
      </w:r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2B83EC5"/>
    <w:multiLevelType w:val="multilevel"/>
    <w:tmpl w:val="42B83EC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0">
    <w:nsid w:val="4C85521B"/>
    <w:multiLevelType w:val="multilevel"/>
    <w:tmpl w:val="4C8552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59346859"/>
    <w:multiLevelType w:val="multilevel"/>
    <w:tmpl w:val="5934685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5C52C4A3"/>
    <w:multiLevelType w:val="singleLevel"/>
    <w:tmpl w:val="5C52C4A3"/>
    <w:lvl w:ilvl="0" w:tentative="0">
      <w:start w:val="1"/>
      <w:numFmt w:val="bullet"/>
      <w:lvlText w:val=""/>
      <w:lvlJc w:val="left"/>
      <w:pPr>
        <w:ind w:left="420" w:hanging="420"/>
      </w:pPr>
      <w:rPr>
        <w:rFonts w:hint="default" w:ascii="Wingdings" w:hAnsi="Wingdings"/>
      </w:rPr>
    </w:lvl>
  </w:abstractNum>
  <w:abstractNum w:abstractNumId="14">
    <w:nsid w:val="5D4BF7F3"/>
    <w:multiLevelType w:val="multilevel"/>
    <w:tmpl w:val="5D4BF7F3"/>
    <w:lvl w:ilvl="0" w:tentative="0">
      <w:start w:val="1"/>
      <w:numFmt w:val="decimal"/>
      <w:pStyle w:val="2"/>
      <w:lvlText w:val="%1."/>
      <w:lvlJc w:val="left"/>
      <w:pPr>
        <w:ind w:left="432" w:leftChars="0" w:hanging="432" w:firstLineChars="0"/>
      </w:pPr>
      <w:rPr>
        <w:rFonts w:hint="default"/>
      </w:rPr>
    </w:lvl>
    <w:lvl w:ilvl="1" w:tentative="0">
      <w:start w:val="1"/>
      <w:numFmt w:val="decimal"/>
      <w:pStyle w:val="3"/>
      <w:lvlText w:val="%1.%2."/>
      <w:lvlJc w:val="left"/>
      <w:pPr>
        <w:ind w:left="575" w:leftChars="0" w:hanging="575" w:firstLineChars="0"/>
      </w:pPr>
      <w:rPr>
        <w:rFonts w:hint="default"/>
      </w:rPr>
    </w:lvl>
    <w:lvl w:ilvl="2" w:tentative="0">
      <w:start w:val="1"/>
      <w:numFmt w:val="decimal"/>
      <w:pStyle w:val="4"/>
      <w:lvlText w:val="%1.%2.%3."/>
      <w:lvlJc w:val="left"/>
      <w:pPr>
        <w:ind w:left="720" w:leftChars="0" w:hanging="720" w:firstLineChars="0"/>
      </w:pPr>
      <w:rPr>
        <w:rFonts w:hint="default"/>
      </w:rPr>
    </w:lvl>
    <w:lvl w:ilvl="3" w:tentative="0">
      <w:start w:val="1"/>
      <w:numFmt w:val="decimal"/>
      <w:pStyle w:val="5"/>
      <w:lvlText w:val="%1.%2.%3.%4."/>
      <w:lvlJc w:val="left"/>
      <w:pPr>
        <w:ind w:left="864" w:leftChars="0" w:hanging="864" w:firstLineChars="0"/>
      </w:pPr>
      <w:rPr>
        <w:rFonts w:hint="default"/>
      </w:rPr>
    </w:lvl>
    <w:lvl w:ilvl="4" w:tentative="0">
      <w:start w:val="1"/>
      <w:numFmt w:val="decimal"/>
      <w:pStyle w:val="6"/>
      <w:lvlText w:val="%1.%2.%3.%4.%5."/>
      <w:lvlJc w:val="left"/>
      <w:pPr>
        <w:ind w:left="1008" w:leftChars="0" w:hanging="1008" w:firstLineChars="0"/>
      </w:pPr>
      <w:rPr>
        <w:rFonts w:hint="default"/>
      </w:rPr>
    </w:lvl>
    <w:lvl w:ilvl="5" w:tentative="0">
      <w:start w:val="1"/>
      <w:numFmt w:val="decimal"/>
      <w:pStyle w:val="7"/>
      <w:lvlText w:val="%1.%2.%3.%4.%5.%6."/>
      <w:lvlJc w:val="left"/>
      <w:pPr>
        <w:ind w:left="1151" w:leftChars="0" w:hanging="1151" w:firstLineChars="0"/>
      </w:pPr>
      <w:rPr>
        <w:rFonts w:hint="default"/>
      </w:rPr>
    </w:lvl>
    <w:lvl w:ilvl="6" w:tentative="0">
      <w:start w:val="1"/>
      <w:numFmt w:val="decimal"/>
      <w:pStyle w:val="8"/>
      <w:lvlText w:val="%1.%2.%3.%4.%5.%6.%7."/>
      <w:lvlJc w:val="left"/>
      <w:pPr>
        <w:ind w:left="1296" w:leftChars="0" w:hanging="1296" w:firstLineChars="0"/>
      </w:pPr>
      <w:rPr>
        <w:rFonts w:hint="default"/>
      </w:rPr>
    </w:lvl>
    <w:lvl w:ilvl="7" w:tentative="0">
      <w:start w:val="1"/>
      <w:numFmt w:val="decimal"/>
      <w:pStyle w:val="9"/>
      <w:lvlText w:val="%1.%2.%3.%4.%5.%6.%7.%8."/>
      <w:lvlJc w:val="left"/>
      <w:pPr>
        <w:ind w:left="1440" w:leftChars="0" w:hanging="1440" w:firstLineChars="0"/>
      </w:pPr>
      <w:rPr>
        <w:rFonts w:hint="default"/>
      </w:rPr>
    </w:lvl>
    <w:lvl w:ilvl="8" w:tentative="0">
      <w:start w:val="1"/>
      <w:numFmt w:val="decimal"/>
      <w:pStyle w:val="10"/>
      <w:lvlText w:val="%1.%2.%3.%4.%5.%6.%7.%8.%9."/>
      <w:lvlJc w:val="left"/>
      <w:pPr>
        <w:ind w:left="1583" w:leftChars="0" w:hanging="1583" w:firstLineChars="0"/>
      </w:pPr>
      <w:rPr>
        <w:rFonts w:hint="default"/>
      </w:rPr>
    </w:lvl>
  </w:abstractNum>
  <w:abstractNum w:abstractNumId="15">
    <w:nsid w:val="5D8DE032"/>
    <w:multiLevelType w:val="singleLevel"/>
    <w:tmpl w:val="5D8DE032"/>
    <w:lvl w:ilvl="0" w:tentative="0">
      <w:start w:val="1"/>
      <w:numFmt w:val="bullet"/>
      <w:lvlText w:val=""/>
      <w:lvlJc w:val="left"/>
      <w:pPr>
        <w:ind w:left="420" w:leftChars="0" w:hanging="420" w:firstLineChars="0"/>
      </w:pPr>
      <w:rPr>
        <w:rFonts w:hint="default" w:ascii="Wingdings" w:hAnsi="Wingdings"/>
      </w:rPr>
    </w:lvl>
  </w:abstractNum>
  <w:abstractNum w:abstractNumId="16">
    <w:nsid w:val="5DC520BE"/>
    <w:multiLevelType w:val="singleLevel"/>
    <w:tmpl w:val="5DC520BE"/>
    <w:lvl w:ilvl="0" w:tentative="0">
      <w:start w:val="1"/>
      <w:numFmt w:val="bullet"/>
      <w:lvlText w:val=""/>
      <w:lvlJc w:val="left"/>
      <w:pPr>
        <w:ind w:left="420" w:leftChars="0" w:hanging="420" w:firstLineChars="0"/>
      </w:pPr>
      <w:rPr>
        <w:rFonts w:hint="default" w:ascii="Wingdings" w:hAnsi="Wingdings"/>
      </w:rPr>
    </w:lvl>
  </w:abstractNum>
  <w:abstractNum w:abstractNumId="17">
    <w:nsid w:val="5E9C4C98"/>
    <w:multiLevelType w:val="multilevel"/>
    <w:tmpl w:val="5E9C4C9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62191AAE"/>
    <w:multiLevelType w:val="multilevel"/>
    <w:tmpl w:val="62191AA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720" w:hanging="360"/>
      </w:pPr>
      <w:rPr>
        <w:rFonts w:hint="default" w:ascii="Courier New" w:hAnsi="Courier New" w:cs="Courier New"/>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cs="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cs="Courier New"/>
      </w:rPr>
    </w:lvl>
    <w:lvl w:ilvl="8" w:tentative="0">
      <w:start w:val="1"/>
      <w:numFmt w:val="bullet"/>
      <w:lvlText w:val=""/>
      <w:lvlJc w:val="left"/>
      <w:pPr>
        <w:ind w:left="5760" w:hanging="360"/>
      </w:pPr>
      <w:rPr>
        <w:rFonts w:hint="default" w:ascii="Wingdings" w:hAnsi="Wingdings"/>
      </w:rPr>
    </w:lvl>
  </w:abstractNum>
  <w:abstractNum w:abstractNumId="19">
    <w:nsid w:val="68E31DFD"/>
    <w:multiLevelType w:val="multilevel"/>
    <w:tmpl w:val="68E31DF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6B2362C4"/>
    <w:multiLevelType w:val="multilevel"/>
    <w:tmpl w:val="6B2362C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2">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num>
  <w:num w:numId="2">
    <w:abstractNumId w:val="9"/>
  </w:num>
  <w:num w:numId="3">
    <w:abstractNumId w:val="21"/>
  </w:num>
  <w:num w:numId="4">
    <w:abstractNumId w:val="22"/>
  </w:num>
  <w:num w:numId="5">
    <w:abstractNumId w:val="4"/>
  </w:num>
  <w:num w:numId="6">
    <w:abstractNumId w:val="11"/>
  </w:num>
  <w:num w:numId="7">
    <w:abstractNumId w:val="7"/>
  </w:num>
  <w:num w:numId="8">
    <w:abstractNumId w:val="0"/>
  </w:num>
  <w:num w:numId="9">
    <w:abstractNumId w:val="6"/>
  </w:num>
  <w:num w:numId="10">
    <w:abstractNumId w:val="18"/>
  </w:num>
  <w:num w:numId="11">
    <w:abstractNumId w:val="8"/>
  </w:num>
  <w:num w:numId="12">
    <w:abstractNumId w:val="1"/>
  </w:num>
  <w:num w:numId="13">
    <w:abstractNumId w:val="19"/>
  </w:num>
  <w:num w:numId="14">
    <w:abstractNumId w:val="3"/>
  </w:num>
  <w:num w:numId="15">
    <w:abstractNumId w:val="17"/>
  </w:num>
  <w:num w:numId="16">
    <w:abstractNumId w:val="2"/>
  </w:num>
  <w:num w:numId="17">
    <w:abstractNumId w:val="20"/>
  </w:num>
  <w:num w:numId="18">
    <w:abstractNumId w:val="12"/>
  </w:num>
  <w:num w:numId="19">
    <w:abstractNumId w:val="5"/>
  </w:num>
  <w:num w:numId="20">
    <w:abstractNumId w:val="10"/>
  </w:num>
  <w:num w:numId="21">
    <w:abstractNumId w:val="13"/>
  </w:num>
  <w:num w:numId="22">
    <w:abstractNumId w:val="1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0B9"/>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80D"/>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025"/>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019"/>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E09"/>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971"/>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220"/>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1C65"/>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5EAE"/>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4D6"/>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36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ACD"/>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76A"/>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AF"/>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0E9"/>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2CD"/>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02F"/>
    <w:rsid w:val="003921D9"/>
    <w:rsid w:val="00392218"/>
    <w:rsid w:val="00392CD7"/>
    <w:rsid w:val="003930E6"/>
    <w:rsid w:val="00393224"/>
    <w:rsid w:val="003937A6"/>
    <w:rsid w:val="00393815"/>
    <w:rsid w:val="00393A09"/>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C91"/>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42A"/>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0DB"/>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77EB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274"/>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CD4"/>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959"/>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72B"/>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550"/>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171"/>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0CEE"/>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766"/>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145"/>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AAF"/>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37C"/>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4B5"/>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9E9"/>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06"/>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6F6"/>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C2C"/>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7F9"/>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4CE"/>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A9A"/>
    <w:rsid w:val="00701FFB"/>
    <w:rsid w:val="0070246E"/>
    <w:rsid w:val="0070263B"/>
    <w:rsid w:val="00702826"/>
    <w:rsid w:val="00702B5C"/>
    <w:rsid w:val="00702DAB"/>
    <w:rsid w:val="00702EB5"/>
    <w:rsid w:val="00702EFD"/>
    <w:rsid w:val="007033ED"/>
    <w:rsid w:val="00703538"/>
    <w:rsid w:val="0070364B"/>
    <w:rsid w:val="00703FBE"/>
    <w:rsid w:val="0070402D"/>
    <w:rsid w:val="007046C1"/>
    <w:rsid w:val="00704AD4"/>
    <w:rsid w:val="00704D31"/>
    <w:rsid w:val="007050BB"/>
    <w:rsid w:val="00705553"/>
    <w:rsid w:val="007058F4"/>
    <w:rsid w:val="0070593B"/>
    <w:rsid w:val="00705B50"/>
    <w:rsid w:val="00706399"/>
    <w:rsid w:val="007063D6"/>
    <w:rsid w:val="0070692F"/>
    <w:rsid w:val="00706BCA"/>
    <w:rsid w:val="00706CDB"/>
    <w:rsid w:val="00706CFA"/>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4B35"/>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2F"/>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5D37"/>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AE6"/>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15C"/>
    <w:rsid w:val="00810459"/>
    <w:rsid w:val="008107CB"/>
    <w:rsid w:val="00810841"/>
    <w:rsid w:val="00810E1A"/>
    <w:rsid w:val="008110BE"/>
    <w:rsid w:val="008111B8"/>
    <w:rsid w:val="0081187C"/>
    <w:rsid w:val="008119AA"/>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3E"/>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39D"/>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627"/>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1D2"/>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3F9"/>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0FC"/>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450"/>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E9"/>
    <w:rsid w:val="00951EF5"/>
    <w:rsid w:val="00951F46"/>
    <w:rsid w:val="00952276"/>
    <w:rsid w:val="009523CC"/>
    <w:rsid w:val="009529A3"/>
    <w:rsid w:val="00952ACF"/>
    <w:rsid w:val="00952C4B"/>
    <w:rsid w:val="00952D05"/>
    <w:rsid w:val="00952D6C"/>
    <w:rsid w:val="00952D7B"/>
    <w:rsid w:val="00952E4F"/>
    <w:rsid w:val="0095317F"/>
    <w:rsid w:val="0095343E"/>
    <w:rsid w:val="00953504"/>
    <w:rsid w:val="009537B9"/>
    <w:rsid w:val="00953B50"/>
    <w:rsid w:val="00953BE7"/>
    <w:rsid w:val="00953CE8"/>
    <w:rsid w:val="00954514"/>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1E20"/>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3F2"/>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846"/>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B0"/>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109"/>
    <w:rsid w:val="00A1752F"/>
    <w:rsid w:val="00A175AE"/>
    <w:rsid w:val="00A17615"/>
    <w:rsid w:val="00A17E93"/>
    <w:rsid w:val="00A20C09"/>
    <w:rsid w:val="00A20F13"/>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3D4D"/>
    <w:rsid w:val="00A34044"/>
    <w:rsid w:val="00A3470F"/>
    <w:rsid w:val="00A34757"/>
    <w:rsid w:val="00A34849"/>
    <w:rsid w:val="00A34BDE"/>
    <w:rsid w:val="00A34D2C"/>
    <w:rsid w:val="00A351E9"/>
    <w:rsid w:val="00A356FD"/>
    <w:rsid w:val="00A35752"/>
    <w:rsid w:val="00A358F4"/>
    <w:rsid w:val="00A35E86"/>
    <w:rsid w:val="00A35F73"/>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B2A"/>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A14"/>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7B0"/>
    <w:rsid w:val="00AE7988"/>
    <w:rsid w:val="00AE79DE"/>
    <w:rsid w:val="00AE7D5B"/>
    <w:rsid w:val="00AE7D78"/>
    <w:rsid w:val="00AE7FAA"/>
    <w:rsid w:val="00AF013E"/>
    <w:rsid w:val="00AF076F"/>
    <w:rsid w:val="00AF084B"/>
    <w:rsid w:val="00AF0C6D"/>
    <w:rsid w:val="00AF0C9C"/>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1B2"/>
    <w:rsid w:val="00B06300"/>
    <w:rsid w:val="00B06826"/>
    <w:rsid w:val="00B06FC1"/>
    <w:rsid w:val="00B0712A"/>
    <w:rsid w:val="00B07266"/>
    <w:rsid w:val="00B0747E"/>
    <w:rsid w:val="00B07B54"/>
    <w:rsid w:val="00B07D8A"/>
    <w:rsid w:val="00B101B1"/>
    <w:rsid w:val="00B104B6"/>
    <w:rsid w:val="00B1088C"/>
    <w:rsid w:val="00B1090A"/>
    <w:rsid w:val="00B10D60"/>
    <w:rsid w:val="00B10E28"/>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1"/>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391F"/>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D94"/>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5AE"/>
    <w:rsid w:val="00BD3B37"/>
    <w:rsid w:val="00BD3EA6"/>
    <w:rsid w:val="00BD4335"/>
    <w:rsid w:val="00BD439F"/>
    <w:rsid w:val="00BD46BF"/>
    <w:rsid w:val="00BD4D24"/>
    <w:rsid w:val="00BD57A8"/>
    <w:rsid w:val="00BD6150"/>
    <w:rsid w:val="00BD65B4"/>
    <w:rsid w:val="00BD6623"/>
    <w:rsid w:val="00BD6C27"/>
    <w:rsid w:val="00BD76AD"/>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4F52"/>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0BF"/>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651"/>
    <w:rsid w:val="00C73D2E"/>
    <w:rsid w:val="00C73D38"/>
    <w:rsid w:val="00C73D6A"/>
    <w:rsid w:val="00C73DF2"/>
    <w:rsid w:val="00C74471"/>
    <w:rsid w:val="00C7471C"/>
    <w:rsid w:val="00C74976"/>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3C2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2AC"/>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5D5C"/>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D1"/>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95C"/>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5FB"/>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4E7"/>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0F"/>
    <w:rsid w:val="00DF7F5A"/>
    <w:rsid w:val="00E000CB"/>
    <w:rsid w:val="00E00987"/>
    <w:rsid w:val="00E00ABC"/>
    <w:rsid w:val="00E00C71"/>
    <w:rsid w:val="00E00EF8"/>
    <w:rsid w:val="00E00F8E"/>
    <w:rsid w:val="00E00FB4"/>
    <w:rsid w:val="00E0125C"/>
    <w:rsid w:val="00E01320"/>
    <w:rsid w:val="00E0132C"/>
    <w:rsid w:val="00E01B3C"/>
    <w:rsid w:val="00E01B51"/>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821"/>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AD"/>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023"/>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1D8E"/>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134"/>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AF"/>
    <w:rsid w:val="00EC1236"/>
    <w:rsid w:val="00EC15FB"/>
    <w:rsid w:val="00EC1A09"/>
    <w:rsid w:val="00EC1E0A"/>
    <w:rsid w:val="00EC22B2"/>
    <w:rsid w:val="00EC2440"/>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D7DE6"/>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7B1"/>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C99"/>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5922"/>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95D"/>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C3E3A"/>
    <w:rsid w:val="010D2358"/>
    <w:rsid w:val="01120C0E"/>
    <w:rsid w:val="0116466C"/>
    <w:rsid w:val="011C4CBE"/>
    <w:rsid w:val="011F6F61"/>
    <w:rsid w:val="012A1556"/>
    <w:rsid w:val="01300284"/>
    <w:rsid w:val="013449DB"/>
    <w:rsid w:val="013C6729"/>
    <w:rsid w:val="01423885"/>
    <w:rsid w:val="01442386"/>
    <w:rsid w:val="014B0B9E"/>
    <w:rsid w:val="015F0EC7"/>
    <w:rsid w:val="016149C5"/>
    <w:rsid w:val="016300B5"/>
    <w:rsid w:val="01662491"/>
    <w:rsid w:val="016C0C0D"/>
    <w:rsid w:val="0171781D"/>
    <w:rsid w:val="01747D88"/>
    <w:rsid w:val="017B5BE0"/>
    <w:rsid w:val="017E33BB"/>
    <w:rsid w:val="017F5CF5"/>
    <w:rsid w:val="01817C7F"/>
    <w:rsid w:val="01851947"/>
    <w:rsid w:val="01925003"/>
    <w:rsid w:val="019A5868"/>
    <w:rsid w:val="019D1B8A"/>
    <w:rsid w:val="019F2E30"/>
    <w:rsid w:val="01AA31AA"/>
    <w:rsid w:val="01B06607"/>
    <w:rsid w:val="01B312D6"/>
    <w:rsid w:val="01B56289"/>
    <w:rsid w:val="01B81FB7"/>
    <w:rsid w:val="01C47AC2"/>
    <w:rsid w:val="01CF7BAD"/>
    <w:rsid w:val="01D640E8"/>
    <w:rsid w:val="01D7237F"/>
    <w:rsid w:val="01DB527E"/>
    <w:rsid w:val="01DE59FF"/>
    <w:rsid w:val="01E27892"/>
    <w:rsid w:val="01E75CA2"/>
    <w:rsid w:val="01F3278C"/>
    <w:rsid w:val="020476DE"/>
    <w:rsid w:val="0206407D"/>
    <w:rsid w:val="020B7B2D"/>
    <w:rsid w:val="020C6129"/>
    <w:rsid w:val="020C7745"/>
    <w:rsid w:val="020F0B38"/>
    <w:rsid w:val="021440D5"/>
    <w:rsid w:val="0215359B"/>
    <w:rsid w:val="021B339F"/>
    <w:rsid w:val="0228125F"/>
    <w:rsid w:val="023A7813"/>
    <w:rsid w:val="02475F5E"/>
    <w:rsid w:val="024E0D1A"/>
    <w:rsid w:val="02552E76"/>
    <w:rsid w:val="025634E2"/>
    <w:rsid w:val="02577A9B"/>
    <w:rsid w:val="025B023A"/>
    <w:rsid w:val="025F16E8"/>
    <w:rsid w:val="026C1285"/>
    <w:rsid w:val="026D2194"/>
    <w:rsid w:val="026E57BA"/>
    <w:rsid w:val="02706D65"/>
    <w:rsid w:val="0282366C"/>
    <w:rsid w:val="02931A6D"/>
    <w:rsid w:val="029B09E6"/>
    <w:rsid w:val="02A0331E"/>
    <w:rsid w:val="02A6031A"/>
    <w:rsid w:val="02BE100E"/>
    <w:rsid w:val="02C52804"/>
    <w:rsid w:val="02C812E0"/>
    <w:rsid w:val="02CD2D6B"/>
    <w:rsid w:val="02D12B3D"/>
    <w:rsid w:val="02D8584D"/>
    <w:rsid w:val="02DE5212"/>
    <w:rsid w:val="02E03B60"/>
    <w:rsid w:val="02F1425C"/>
    <w:rsid w:val="02F57E17"/>
    <w:rsid w:val="02F7184D"/>
    <w:rsid w:val="02FE0AD1"/>
    <w:rsid w:val="03040789"/>
    <w:rsid w:val="0304314D"/>
    <w:rsid w:val="03127134"/>
    <w:rsid w:val="0321227E"/>
    <w:rsid w:val="03272AB0"/>
    <w:rsid w:val="032A0E0E"/>
    <w:rsid w:val="032A7CE3"/>
    <w:rsid w:val="032E7219"/>
    <w:rsid w:val="033A5F50"/>
    <w:rsid w:val="033B3BF7"/>
    <w:rsid w:val="033D4A10"/>
    <w:rsid w:val="033E1D04"/>
    <w:rsid w:val="0352041D"/>
    <w:rsid w:val="035A0BC2"/>
    <w:rsid w:val="035A767B"/>
    <w:rsid w:val="035F4DAA"/>
    <w:rsid w:val="0364716F"/>
    <w:rsid w:val="03660144"/>
    <w:rsid w:val="037217A6"/>
    <w:rsid w:val="03730DEA"/>
    <w:rsid w:val="03766487"/>
    <w:rsid w:val="038F0060"/>
    <w:rsid w:val="038F14C2"/>
    <w:rsid w:val="039D533E"/>
    <w:rsid w:val="03A5329E"/>
    <w:rsid w:val="03B3111B"/>
    <w:rsid w:val="03B4684E"/>
    <w:rsid w:val="03B67395"/>
    <w:rsid w:val="03B92F71"/>
    <w:rsid w:val="03C84CF9"/>
    <w:rsid w:val="03D13C6B"/>
    <w:rsid w:val="03E22829"/>
    <w:rsid w:val="03E22CBA"/>
    <w:rsid w:val="03E9023D"/>
    <w:rsid w:val="03EA0B89"/>
    <w:rsid w:val="03EF62F3"/>
    <w:rsid w:val="03F31AEA"/>
    <w:rsid w:val="03FD5CD4"/>
    <w:rsid w:val="041D3FE2"/>
    <w:rsid w:val="041D7C6A"/>
    <w:rsid w:val="04373938"/>
    <w:rsid w:val="043940AA"/>
    <w:rsid w:val="043B2210"/>
    <w:rsid w:val="04492950"/>
    <w:rsid w:val="044A4A15"/>
    <w:rsid w:val="04586E3A"/>
    <w:rsid w:val="047944EF"/>
    <w:rsid w:val="0481370D"/>
    <w:rsid w:val="04866D17"/>
    <w:rsid w:val="048D6E23"/>
    <w:rsid w:val="049408AC"/>
    <w:rsid w:val="049D2025"/>
    <w:rsid w:val="04AD0ED3"/>
    <w:rsid w:val="04AE464A"/>
    <w:rsid w:val="04B14C72"/>
    <w:rsid w:val="04B571F4"/>
    <w:rsid w:val="04B87071"/>
    <w:rsid w:val="04BA2AA0"/>
    <w:rsid w:val="04BF401E"/>
    <w:rsid w:val="04C87195"/>
    <w:rsid w:val="04D933F6"/>
    <w:rsid w:val="04ED3F42"/>
    <w:rsid w:val="04ED5BC4"/>
    <w:rsid w:val="04EF768A"/>
    <w:rsid w:val="04F431DE"/>
    <w:rsid w:val="04FA7D91"/>
    <w:rsid w:val="0503645A"/>
    <w:rsid w:val="0507692C"/>
    <w:rsid w:val="05085622"/>
    <w:rsid w:val="050C02AC"/>
    <w:rsid w:val="051005B0"/>
    <w:rsid w:val="05102CF3"/>
    <w:rsid w:val="0514129A"/>
    <w:rsid w:val="051A11D0"/>
    <w:rsid w:val="05207ADF"/>
    <w:rsid w:val="052A60DF"/>
    <w:rsid w:val="052E035C"/>
    <w:rsid w:val="05365D27"/>
    <w:rsid w:val="0539198C"/>
    <w:rsid w:val="053A23EC"/>
    <w:rsid w:val="053B61C1"/>
    <w:rsid w:val="054135B7"/>
    <w:rsid w:val="05561401"/>
    <w:rsid w:val="055E6583"/>
    <w:rsid w:val="05654ACD"/>
    <w:rsid w:val="0568434C"/>
    <w:rsid w:val="056C15D8"/>
    <w:rsid w:val="05714F45"/>
    <w:rsid w:val="057715B6"/>
    <w:rsid w:val="057C70DD"/>
    <w:rsid w:val="058278D6"/>
    <w:rsid w:val="058711A0"/>
    <w:rsid w:val="059311CE"/>
    <w:rsid w:val="05A92F3C"/>
    <w:rsid w:val="05C05591"/>
    <w:rsid w:val="05C15583"/>
    <w:rsid w:val="05CB3699"/>
    <w:rsid w:val="05CC5747"/>
    <w:rsid w:val="05D6183E"/>
    <w:rsid w:val="05EA03BC"/>
    <w:rsid w:val="05F02835"/>
    <w:rsid w:val="05F33C14"/>
    <w:rsid w:val="05F734D4"/>
    <w:rsid w:val="0607152D"/>
    <w:rsid w:val="0611713B"/>
    <w:rsid w:val="06165443"/>
    <w:rsid w:val="06184530"/>
    <w:rsid w:val="061A5819"/>
    <w:rsid w:val="062E281A"/>
    <w:rsid w:val="063B1FB2"/>
    <w:rsid w:val="063D7168"/>
    <w:rsid w:val="06412B65"/>
    <w:rsid w:val="06480C3E"/>
    <w:rsid w:val="064918B2"/>
    <w:rsid w:val="064D0034"/>
    <w:rsid w:val="064E113B"/>
    <w:rsid w:val="065209FD"/>
    <w:rsid w:val="06560B49"/>
    <w:rsid w:val="06606896"/>
    <w:rsid w:val="066152A8"/>
    <w:rsid w:val="0664201F"/>
    <w:rsid w:val="06671ACF"/>
    <w:rsid w:val="066923E3"/>
    <w:rsid w:val="066969E1"/>
    <w:rsid w:val="06702927"/>
    <w:rsid w:val="06726F0F"/>
    <w:rsid w:val="067545D6"/>
    <w:rsid w:val="06780CAF"/>
    <w:rsid w:val="067A52BA"/>
    <w:rsid w:val="067A7134"/>
    <w:rsid w:val="06812A0A"/>
    <w:rsid w:val="06861404"/>
    <w:rsid w:val="068E2A9D"/>
    <w:rsid w:val="06940CE5"/>
    <w:rsid w:val="069B70A9"/>
    <w:rsid w:val="06AC5706"/>
    <w:rsid w:val="06AC7F0C"/>
    <w:rsid w:val="06B14D64"/>
    <w:rsid w:val="06B367F7"/>
    <w:rsid w:val="06BD22A9"/>
    <w:rsid w:val="06C1240E"/>
    <w:rsid w:val="06D94FC1"/>
    <w:rsid w:val="06E64749"/>
    <w:rsid w:val="06E90A27"/>
    <w:rsid w:val="06F02E7F"/>
    <w:rsid w:val="06F16D38"/>
    <w:rsid w:val="06F663E3"/>
    <w:rsid w:val="07055FEC"/>
    <w:rsid w:val="070D1F4D"/>
    <w:rsid w:val="07180B50"/>
    <w:rsid w:val="07192E9C"/>
    <w:rsid w:val="07336039"/>
    <w:rsid w:val="073921AA"/>
    <w:rsid w:val="0744130A"/>
    <w:rsid w:val="07542980"/>
    <w:rsid w:val="075667CB"/>
    <w:rsid w:val="07632CEA"/>
    <w:rsid w:val="076C3680"/>
    <w:rsid w:val="07700040"/>
    <w:rsid w:val="07785D22"/>
    <w:rsid w:val="077927D5"/>
    <w:rsid w:val="07877B44"/>
    <w:rsid w:val="0791344A"/>
    <w:rsid w:val="07937598"/>
    <w:rsid w:val="079D2A5E"/>
    <w:rsid w:val="07B138BC"/>
    <w:rsid w:val="07BF305A"/>
    <w:rsid w:val="07D82CAA"/>
    <w:rsid w:val="07EC4E0F"/>
    <w:rsid w:val="07EF0812"/>
    <w:rsid w:val="07F92987"/>
    <w:rsid w:val="07FF7141"/>
    <w:rsid w:val="08086C69"/>
    <w:rsid w:val="080A608B"/>
    <w:rsid w:val="0810009A"/>
    <w:rsid w:val="08154504"/>
    <w:rsid w:val="081946FA"/>
    <w:rsid w:val="0820059C"/>
    <w:rsid w:val="08205999"/>
    <w:rsid w:val="082641E1"/>
    <w:rsid w:val="082677DF"/>
    <w:rsid w:val="082D4061"/>
    <w:rsid w:val="083106B2"/>
    <w:rsid w:val="08345921"/>
    <w:rsid w:val="083A5050"/>
    <w:rsid w:val="08420F01"/>
    <w:rsid w:val="0849323D"/>
    <w:rsid w:val="0858010B"/>
    <w:rsid w:val="085F3C5C"/>
    <w:rsid w:val="08647FFE"/>
    <w:rsid w:val="08685A1F"/>
    <w:rsid w:val="086D4114"/>
    <w:rsid w:val="086F263B"/>
    <w:rsid w:val="087475CB"/>
    <w:rsid w:val="088D3D5F"/>
    <w:rsid w:val="088E39EA"/>
    <w:rsid w:val="08A23484"/>
    <w:rsid w:val="08A8169A"/>
    <w:rsid w:val="08AA77A5"/>
    <w:rsid w:val="08B3418E"/>
    <w:rsid w:val="08B709A5"/>
    <w:rsid w:val="08B85A9F"/>
    <w:rsid w:val="08C447CA"/>
    <w:rsid w:val="08C6286C"/>
    <w:rsid w:val="08D2225D"/>
    <w:rsid w:val="08D247AE"/>
    <w:rsid w:val="08D769F8"/>
    <w:rsid w:val="08D8285F"/>
    <w:rsid w:val="08DB10C5"/>
    <w:rsid w:val="08DB45BE"/>
    <w:rsid w:val="08DD2D3C"/>
    <w:rsid w:val="08DD3B96"/>
    <w:rsid w:val="08E65700"/>
    <w:rsid w:val="08EB22DC"/>
    <w:rsid w:val="09016D57"/>
    <w:rsid w:val="090551AD"/>
    <w:rsid w:val="090730AE"/>
    <w:rsid w:val="09101BF4"/>
    <w:rsid w:val="09197911"/>
    <w:rsid w:val="091D787D"/>
    <w:rsid w:val="092B4C65"/>
    <w:rsid w:val="093E2A79"/>
    <w:rsid w:val="093F0CB8"/>
    <w:rsid w:val="094016F8"/>
    <w:rsid w:val="09413FA1"/>
    <w:rsid w:val="094B4000"/>
    <w:rsid w:val="094C4BFB"/>
    <w:rsid w:val="094C531F"/>
    <w:rsid w:val="09522EF9"/>
    <w:rsid w:val="09573B13"/>
    <w:rsid w:val="095B1F08"/>
    <w:rsid w:val="095C41D4"/>
    <w:rsid w:val="095C6E40"/>
    <w:rsid w:val="095F2550"/>
    <w:rsid w:val="09623BE4"/>
    <w:rsid w:val="09666E1B"/>
    <w:rsid w:val="096B7C67"/>
    <w:rsid w:val="09784AC2"/>
    <w:rsid w:val="097A5AAA"/>
    <w:rsid w:val="097D51B6"/>
    <w:rsid w:val="09817928"/>
    <w:rsid w:val="09870B68"/>
    <w:rsid w:val="09912B55"/>
    <w:rsid w:val="099243E8"/>
    <w:rsid w:val="09933B2D"/>
    <w:rsid w:val="099371BF"/>
    <w:rsid w:val="099C6494"/>
    <w:rsid w:val="099F2D6E"/>
    <w:rsid w:val="09A14451"/>
    <w:rsid w:val="09A4589E"/>
    <w:rsid w:val="09A71B5C"/>
    <w:rsid w:val="09AF63BC"/>
    <w:rsid w:val="09B33214"/>
    <w:rsid w:val="09B44F73"/>
    <w:rsid w:val="09BA049C"/>
    <w:rsid w:val="09C62C26"/>
    <w:rsid w:val="09C630AF"/>
    <w:rsid w:val="09D01ECD"/>
    <w:rsid w:val="09D139AF"/>
    <w:rsid w:val="09D93126"/>
    <w:rsid w:val="09E15BD7"/>
    <w:rsid w:val="09E76F9C"/>
    <w:rsid w:val="09E850F6"/>
    <w:rsid w:val="09ED25D7"/>
    <w:rsid w:val="09EE4925"/>
    <w:rsid w:val="09EF790A"/>
    <w:rsid w:val="09F353DF"/>
    <w:rsid w:val="09F70456"/>
    <w:rsid w:val="0A002B9A"/>
    <w:rsid w:val="0A031FD0"/>
    <w:rsid w:val="0A0E3FEF"/>
    <w:rsid w:val="0A0E6DB3"/>
    <w:rsid w:val="0A0F6B87"/>
    <w:rsid w:val="0A1259DB"/>
    <w:rsid w:val="0A156678"/>
    <w:rsid w:val="0A1B2BA5"/>
    <w:rsid w:val="0A2206AE"/>
    <w:rsid w:val="0A23200A"/>
    <w:rsid w:val="0A2D1B8A"/>
    <w:rsid w:val="0A3431E1"/>
    <w:rsid w:val="0A3D6AE7"/>
    <w:rsid w:val="0A431DFA"/>
    <w:rsid w:val="0A4B2AC9"/>
    <w:rsid w:val="0A4C013C"/>
    <w:rsid w:val="0A4F1646"/>
    <w:rsid w:val="0A5E514F"/>
    <w:rsid w:val="0A600F2C"/>
    <w:rsid w:val="0A6B1C6F"/>
    <w:rsid w:val="0A814A09"/>
    <w:rsid w:val="0A8F11D7"/>
    <w:rsid w:val="0A9A5DD1"/>
    <w:rsid w:val="0A9D0ECA"/>
    <w:rsid w:val="0AAE3336"/>
    <w:rsid w:val="0AB47550"/>
    <w:rsid w:val="0AD9420F"/>
    <w:rsid w:val="0AE376C5"/>
    <w:rsid w:val="0AE71643"/>
    <w:rsid w:val="0AE822AF"/>
    <w:rsid w:val="0AEC444D"/>
    <w:rsid w:val="0AEC5E69"/>
    <w:rsid w:val="0B022E8F"/>
    <w:rsid w:val="0B0C6A3D"/>
    <w:rsid w:val="0B0E115A"/>
    <w:rsid w:val="0B110405"/>
    <w:rsid w:val="0B112CFE"/>
    <w:rsid w:val="0B1958F2"/>
    <w:rsid w:val="0B1A3084"/>
    <w:rsid w:val="0B1C3126"/>
    <w:rsid w:val="0B262C89"/>
    <w:rsid w:val="0B2E212B"/>
    <w:rsid w:val="0B335C0F"/>
    <w:rsid w:val="0B432EBE"/>
    <w:rsid w:val="0B46310C"/>
    <w:rsid w:val="0B4841F7"/>
    <w:rsid w:val="0B4C0BB5"/>
    <w:rsid w:val="0B6070C0"/>
    <w:rsid w:val="0B6C54E9"/>
    <w:rsid w:val="0B745B13"/>
    <w:rsid w:val="0B747CD0"/>
    <w:rsid w:val="0B765E15"/>
    <w:rsid w:val="0B7719AF"/>
    <w:rsid w:val="0B991270"/>
    <w:rsid w:val="0BAC7614"/>
    <w:rsid w:val="0BC2198B"/>
    <w:rsid w:val="0BC32350"/>
    <w:rsid w:val="0BC62453"/>
    <w:rsid w:val="0BE54882"/>
    <w:rsid w:val="0BE62A47"/>
    <w:rsid w:val="0BF07339"/>
    <w:rsid w:val="0BF2590A"/>
    <w:rsid w:val="0BF61FC1"/>
    <w:rsid w:val="0C03402F"/>
    <w:rsid w:val="0C076D09"/>
    <w:rsid w:val="0C0A15B9"/>
    <w:rsid w:val="0C1908CF"/>
    <w:rsid w:val="0C1B64E4"/>
    <w:rsid w:val="0C1D7852"/>
    <w:rsid w:val="0C1E432F"/>
    <w:rsid w:val="0C2B4F6E"/>
    <w:rsid w:val="0C310698"/>
    <w:rsid w:val="0C36477F"/>
    <w:rsid w:val="0C4F022E"/>
    <w:rsid w:val="0C5E465E"/>
    <w:rsid w:val="0C624708"/>
    <w:rsid w:val="0C694D28"/>
    <w:rsid w:val="0C800CF5"/>
    <w:rsid w:val="0C8F5033"/>
    <w:rsid w:val="0C94632E"/>
    <w:rsid w:val="0CA06B2F"/>
    <w:rsid w:val="0CA85FC8"/>
    <w:rsid w:val="0CAC738A"/>
    <w:rsid w:val="0CB1691B"/>
    <w:rsid w:val="0CBC52B7"/>
    <w:rsid w:val="0CBD04CE"/>
    <w:rsid w:val="0CBD219E"/>
    <w:rsid w:val="0CBE2FDD"/>
    <w:rsid w:val="0CC019A5"/>
    <w:rsid w:val="0CC52AE6"/>
    <w:rsid w:val="0CCF4814"/>
    <w:rsid w:val="0D05727A"/>
    <w:rsid w:val="0D0722F8"/>
    <w:rsid w:val="0D1355D6"/>
    <w:rsid w:val="0D1C1D8E"/>
    <w:rsid w:val="0D1D3B57"/>
    <w:rsid w:val="0D2460AA"/>
    <w:rsid w:val="0D3D4A3C"/>
    <w:rsid w:val="0D42428A"/>
    <w:rsid w:val="0D4502DE"/>
    <w:rsid w:val="0D4769C6"/>
    <w:rsid w:val="0D5A6088"/>
    <w:rsid w:val="0D5B64A6"/>
    <w:rsid w:val="0D5F406C"/>
    <w:rsid w:val="0D6139FB"/>
    <w:rsid w:val="0D641388"/>
    <w:rsid w:val="0D6563AD"/>
    <w:rsid w:val="0D685A5E"/>
    <w:rsid w:val="0D6A087F"/>
    <w:rsid w:val="0D6F6CBB"/>
    <w:rsid w:val="0D702584"/>
    <w:rsid w:val="0D7116DD"/>
    <w:rsid w:val="0D7678C1"/>
    <w:rsid w:val="0D77689D"/>
    <w:rsid w:val="0D7C4B6D"/>
    <w:rsid w:val="0D85628B"/>
    <w:rsid w:val="0D89475B"/>
    <w:rsid w:val="0D8D664D"/>
    <w:rsid w:val="0D8E5B96"/>
    <w:rsid w:val="0DA27D69"/>
    <w:rsid w:val="0DA45A5D"/>
    <w:rsid w:val="0DA74B7E"/>
    <w:rsid w:val="0DB811C6"/>
    <w:rsid w:val="0DCB6E0C"/>
    <w:rsid w:val="0DD34EA1"/>
    <w:rsid w:val="0DDE2B8E"/>
    <w:rsid w:val="0DE53E77"/>
    <w:rsid w:val="0DE55A2E"/>
    <w:rsid w:val="0DE87E04"/>
    <w:rsid w:val="0DF62983"/>
    <w:rsid w:val="0DF82939"/>
    <w:rsid w:val="0DFC093F"/>
    <w:rsid w:val="0DFC367B"/>
    <w:rsid w:val="0DFE56F8"/>
    <w:rsid w:val="0E006000"/>
    <w:rsid w:val="0E017990"/>
    <w:rsid w:val="0E131018"/>
    <w:rsid w:val="0E1C0F16"/>
    <w:rsid w:val="0E23717E"/>
    <w:rsid w:val="0E2D2E89"/>
    <w:rsid w:val="0E2F345A"/>
    <w:rsid w:val="0E384FB4"/>
    <w:rsid w:val="0E393DB1"/>
    <w:rsid w:val="0E406BF3"/>
    <w:rsid w:val="0E5C5776"/>
    <w:rsid w:val="0E603FF6"/>
    <w:rsid w:val="0E697A81"/>
    <w:rsid w:val="0E6D3F8A"/>
    <w:rsid w:val="0E734382"/>
    <w:rsid w:val="0E750BA6"/>
    <w:rsid w:val="0E7A2DFB"/>
    <w:rsid w:val="0E7C4118"/>
    <w:rsid w:val="0E853F6E"/>
    <w:rsid w:val="0E8C4918"/>
    <w:rsid w:val="0E9545CC"/>
    <w:rsid w:val="0E9C3DCA"/>
    <w:rsid w:val="0E9F210B"/>
    <w:rsid w:val="0EA34F8B"/>
    <w:rsid w:val="0EAA101B"/>
    <w:rsid w:val="0EAC5021"/>
    <w:rsid w:val="0EB41DE3"/>
    <w:rsid w:val="0EBC78AB"/>
    <w:rsid w:val="0EBD7E7D"/>
    <w:rsid w:val="0EC76108"/>
    <w:rsid w:val="0ECC559A"/>
    <w:rsid w:val="0ED0312E"/>
    <w:rsid w:val="0EDC2BBF"/>
    <w:rsid w:val="0EDE70D4"/>
    <w:rsid w:val="0EE078B7"/>
    <w:rsid w:val="0EE44721"/>
    <w:rsid w:val="0EE635FD"/>
    <w:rsid w:val="0EE6751E"/>
    <w:rsid w:val="0EF00AB6"/>
    <w:rsid w:val="0EF204FD"/>
    <w:rsid w:val="0EFC7510"/>
    <w:rsid w:val="0F1B55CF"/>
    <w:rsid w:val="0F26486A"/>
    <w:rsid w:val="0F333602"/>
    <w:rsid w:val="0F337FBA"/>
    <w:rsid w:val="0F35459E"/>
    <w:rsid w:val="0F4A648D"/>
    <w:rsid w:val="0F4C028C"/>
    <w:rsid w:val="0F4C3B8B"/>
    <w:rsid w:val="0F4C6C89"/>
    <w:rsid w:val="0F592901"/>
    <w:rsid w:val="0F6013A0"/>
    <w:rsid w:val="0F8D0B4E"/>
    <w:rsid w:val="0F91251B"/>
    <w:rsid w:val="0F926F44"/>
    <w:rsid w:val="0F9C7455"/>
    <w:rsid w:val="0FAB1807"/>
    <w:rsid w:val="0FAC31FE"/>
    <w:rsid w:val="0FB43344"/>
    <w:rsid w:val="0FB85437"/>
    <w:rsid w:val="0FC2460E"/>
    <w:rsid w:val="0FCA3E4F"/>
    <w:rsid w:val="0FD35C5A"/>
    <w:rsid w:val="0FD84FAB"/>
    <w:rsid w:val="0FE774F3"/>
    <w:rsid w:val="0FEA3BCC"/>
    <w:rsid w:val="0FEA5312"/>
    <w:rsid w:val="0FEA5C4D"/>
    <w:rsid w:val="0FEE4C80"/>
    <w:rsid w:val="0FF06BAB"/>
    <w:rsid w:val="0FF36D88"/>
    <w:rsid w:val="0FFE3BEB"/>
    <w:rsid w:val="100058F7"/>
    <w:rsid w:val="10063E75"/>
    <w:rsid w:val="10094476"/>
    <w:rsid w:val="100B1CFD"/>
    <w:rsid w:val="10213043"/>
    <w:rsid w:val="102B4B71"/>
    <w:rsid w:val="102F41C0"/>
    <w:rsid w:val="103802EE"/>
    <w:rsid w:val="103E5815"/>
    <w:rsid w:val="10435B94"/>
    <w:rsid w:val="10453122"/>
    <w:rsid w:val="104D6BCE"/>
    <w:rsid w:val="104E188D"/>
    <w:rsid w:val="105755E5"/>
    <w:rsid w:val="10587490"/>
    <w:rsid w:val="1059545F"/>
    <w:rsid w:val="105B34F3"/>
    <w:rsid w:val="105F7A26"/>
    <w:rsid w:val="10615385"/>
    <w:rsid w:val="10643C0B"/>
    <w:rsid w:val="106452A5"/>
    <w:rsid w:val="106517C3"/>
    <w:rsid w:val="10666C5D"/>
    <w:rsid w:val="106D4283"/>
    <w:rsid w:val="107270F4"/>
    <w:rsid w:val="10731C79"/>
    <w:rsid w:val="10797EF4"/>
    <w:rsid w:val="10807240"/>
    <w:rsid w:val="108D5260"/>
    <w:rsid w:val="10956BCD"/>
    <w:rsid w:val="10A15189"/>
    <w:rsid w:val="10A515DC"/>
    <w:rsid w:val="10A54BC2"/>
    <w:rsid w:val="10AB1814"/>
    <w:rsid w:val="10B7351B"/>
    <w:rsid w:val="10C72352"/>
    <w:rsid w:val="10CB5CED"/>
    <w:rsid w:val="10D002EE"/>
    <w:rsid w:val="10D00A21"/>
    <w:rsid w:val="10D22A3A"/>
    <w:rsid w:val="10D5034C"/>
    <w:rsid w:val="10E837C4"/>
    <w:rsid w:val="10E94048"/>
    <w:rsid w:val="10EA3661"/>
    <w:rsid w:val="10F51C4A"/>
    <w:rsid w:val="10FB069C"/>
    <w:rsid w:val="10FD47E7"/>
    <w:rsid w:val="11031910"/>
    <w:rsid w:val="11067E9F"/>
    <w:rsid w:val="110B6B80"/>
    <w:rsid w:val="11156322"/>
    <w:rsid w:val="11183B45"/>
    <w:rsid w:val="111A4F52"/>
    <w:rsid w:val="11272C1C"/>
    <w:rsid w:val="112D7FC2"/>
    <w:rsid w:val="11317B38"/>
    <w:rsid w:val="11362E5F"/>
    <w:rsid w:val="1145739D"/>
    <w:rsid w:val="11471569"/>
    <w:rsid w:val="114A6135"/>
    <w:rsid w:val="11533521"/>
    <w:rsid w:val="116327EE"/>
    <w:rsid w:val="116D3E49"/>
    <w:rsid w:val="11796F7B"/>
    <w:rsid w:val="117B2CE4"/>
    <w:rsid w:val="117E512B"/>
    <w:rsid w:val="11803F9D"/>
    <w:rsid w:val="11896D0F"/>
    <w:rsid w:val="118A2310"/>
    <w:rsid w:val="119A5052"/>
    <w:rsid w:val="11A05F24"/>
    <w:rsid w:val="11A172AB"/>
    <w:rsid w:val="11A912E7"/>
    <w:rsid w:val="11AD7DBA"/>
    <w:rsid w:val="11B136A6"/>
    <w:rsid w:val="11BB4CD7"/>
    <w:rsid w:val="11C2603C"/>
    <w:rsid w:val="11C53095"/>
    <w:rsid w:val="11C90285"/>
    <w:rsid w:val="11CD79DF"/>
    <w:rsid w:val="11DA7C8F"/>
    <w:rsid w:val="11DD0D61"/>
    <w:rsid w:val="11E558B3"/>
    <w:rsid w:val="11F11FF1"/>
    <w:rsid w:val="12013EFA"/>
    <w:rsid w:val="1204278B"/>
    <w:rsid w:val="120C641F"/>
    <w:rsid w:val="120D79E0"/>
    <w:rsid w:val="12137E52"/>
    <w:rsid w:val="12172F68"/>
    <w:rsid w:val="12193AE8"/>
    <w:rsid w:val="121D22FB"/>
    <w:rsid w:val="121F5E0E"/>
    <w:rsid w:val="12337389"/>
    <w:rsid w:val="12342582"/>
    <w:rsid w:val="12342C09"/>
    <w:rsid w:val="12467173"/>
    <w:rsid w:val="12516E7E"/>
    <w:rsid w:val="12573BFB"/>
    <w:rsid w:val="126466FF"/>
    <w:rsid w:val="126573FA"/>
    <w:rsid w:val="126A4F03"/>
    <w:rsid w:val="126A5CEC"/>
    <w:rsid w:val="126D249F"/>
    <w:rsid w:val="12720F08"/>
    <w:rsid w:val="12777419"/>
    <w:rsid w:val="12781338"/>
    <w:rsid w:val="12793378"/>
    <w:rsid w:val="128435A6"/>
    <w:rsid w:val="12887843"/>
    <w:rsid w:val="129967F9"/>
    <w:rsid w:val="129C07B5"/>
    <w:rsid w:val="129E7445"/>
    <w:rsid w:val="12A167CC"/>
    <w:rsid w:val="12A44337"/>
    <w:rsid w:val="12AA27CA"/>
    <w:rsid w:val="12AA3A4E"/>
    <w:rsid w:val="12AB191F"/>
    <w:rsid w:val="12AF352E"/>
    <w:rsid w:val="12B22313"/>
    <w:rsid w:val="12B25652"/>
    <w:rsid w:val="12B965AB"/>
    <w:rsid w:val="12C2191B"/>
    <w:rsid w:val="12CA379B"/>
    <w:rsid w:val="12D90828"/>
    <w:rsid w:val="12E9494D"/>
    <w:rsid w:val="12F17995"/>
    <w:rsid w:val="12FE4F66"/>
    <w:rsid w:val="130606EB"/>
    <w:rsid w:val="130C3D17"/>
    <w:rsid w:val="130C5315"/>
    <w:rsid w:val="1310384C"/>
    <w:rsid w:val="13232E56"/>
    <w:rsid w:val="132515BD"/>
    <w:rsid w:val="132F4DB4"/>
    <w:rsid w:val="13390F7E"/>
    <w:rsid w:val="133D6E99"/>
    <w:rsid w:val="133D752C"/>
    <w:rsid w:val="133F11AD"/>
    <w:rsid w:val="134511BF"/>
    <w:rsid w:val="134706E7"/>
    <w:rsid w:val="134D0E57"/>
    <w:rsid w:val="1354016A"/>
    <w:rsid w:val="13586189"/>
    <w:rsid w:val="135B3B12"/>
    <w:rsid w:val="135E2EA4"/>
    <w:rsid w:val="13666D4E"/>
    <w:rsid w:val="136A60BF"/>
    <w:rsid w:val="136E7596"/>
    <w:rsid w:val="13887E24"/>
    <w:rsid w:val="13890FDF"/>
    <w:rsid w:val="1389225E"/>
    <w:rsid w:val="13903D69"/>
    <w:rsid w:val="13A17516"/>
    <w:rsid w:val="13B3525D"/>
    <w:rsid w:val="13CB2A4E"/>
    <w:rsid w:val="13D06F5E"/>
    <w:rsid w:val="13E64B13"/>
    <w:rsid w:val="13F40753"/>
    <w:rsid w:val="13F853C7"/>
    <w:rsid w:val="14003BEB"/>
    <w:rsid w:val="140E039A"/>
    <w:rsid w:val="141A69E5"/>
    <w:rsid w:val="141F546A"/>
    <w:rsid w:val="14273B1B"/>
    <w:rsid w:val="142B5C5A"/>
    <w:rsid w:val="142B6603"/>
    <w:rsid w:val="142F492E"/>
    <w:rsid w:val="14321868"/>
    <w:rsid w:val="143A1A1F"/>
    <w:rsid w:val="143B5D18"/>
    <w:rsid w:val="143F6AFF"/>
    <w:rsid w:val="14435F99"/>
    <w:rsid w:val="14451A63"/>
    <w:rsid w:val="144936B8"/>
    <w:rsid w:val="14584883"/>
    <w:rsid w:val="145B3654"/>
    <w:rsid w:val="145B4ECF"/>
    <w:rsid w:val="145F2AA1"/>
    <w:rsid w:val="1468577E"/>
    <w:rsid w:val="146B4B58"/>
    <w:rsid w:val="146C50FB"/>
    <w:rsid w:val="147D4286"/>
    <w:rsid w:val="148220C4"/>
    <w:rsid w:val="14824576"/>
    <w:rsid w:val="148D6F07"/>
    <w:rsid w:val="1494366A"/>
    <w:rsid w:val="14A14730"/>
    <w:rsid w:val="14A854DA"/>
    <w:rsid w:val="14AD6F34"/>
    <w:rsid w:val="14B27B01"/>
    <w:rsid w:val="14BD40F4"/>
    <w:rsid w:val="14C05D3B"/>
    <w:rsid w:val="14C76286"/>
    <w:rsid w:val="14D41A7B"/>
    <w:rsid w:val="14D7556F"/>
    <w:rsid w:val="14D80EFB"/>
    <w:rsid w:val="14D82697"/>
    <w:rsid w:val="14DC5A33"/>
    <w:rsid w:val="14DD5B78"/>
    <w:rsid w:val="14E667C5"/>
    <w:rsid w:val="14ED37E9"/>
    <w:rsid w:val="151C4F67"/>
    <w:rsid w:val="151E722E"/>
    <w:rsid w:val="152E1285"/>
    <w:rsid w:val="15445D50"/>
    <w:rsid w:val="15544B6F"/>
    <w:rsid w:val="155C2933"/>
    <w:rsid w:val="15620A7D"/>
    <w:rsid w:val="15771A6D"/>
    <w:rsid w:val="157D178A"/>
    <w:rsid w:val="15886FFB"/>
    <w:rsid w:val="158D59D7"/>
    <w:rsid w:val="158F225E"/>
    <w:rsid w:val="15923BF0"/>
    <w:rsid w:val="15977677"/>
    <w:rsid w:val="159C2708"/>
    <w:rsid w:val="15A0465F"/>
    <w:rsid w:val="15AD40A9"/>
    <w:rsid w:val="15B15DD9"/>
    <w:rsid w:val="15B718CF"/>
    <w:rsid w:val="15B9082E"/>
    <w:rsid w:val="15BF0AD6"/>
    <w:rsid w:val="15BF50CF"/>
    <w:rsid w:val="15C00D77"/>
    <w:rsid w:val="15C037B8"/>
    <w:rsid w:val="15C52CA3"/>
    <w:rsid w:val="15CB65E4"/>
    <w:rsid w:val="15CF58E5"/>
    <w:rsid w:val="15D56A10"/>
    <w:rsid w:val="15E618DB"/>
    <w:rsid w:val="15F30220"/>
    <w:rsid w:val="15F62CC1"/>
    <w:rsid w:val="15F917C5"/>
    <w:rsid w:val="160F52FA"/>
    <w:rsid w:val="161B0196"/>
    <w:rsid w:val="162803D9"/>
    <w:rsid w:val="162A2AB0"/>
    <w:rsid w:val="16354AAF"/>
    <w:rsid w:val="164B0084"/>
    <w:rsid w:val="16541F78"/>
    <w:rsid w:val="165E5402"/>
    <w:rsid w:val="165F1E34"/>
    <w:rsid w:val="166527D5"/>
    <w:rsid w:val="166709B3"/>
    <w:rsid w:val="1668681A"/>
    <w:rsid w:val="166E04A8"/>
    <w:rsid w:val="166F43DF"/>
    <w:rsid w:val="167026DE"/>
    <w:rsid w:val="1670292F"/>
    <w:rsid w:val="167050BE"/>
    <w:rsid w:val="16723D25"/>
    <w:rsid w:val="1673549E"/>
    <w:rsid w:val="16784B29"/>
    <w:rsid w:val="16800CB5"/>
    <w:rsid w:val="168027BE"/>
    <w:rsid w:val="1680546F"/>
    <w:rsid w:val="168120DB"/>
    <w:rsid w:val="16853631"/>
    <w:rsid w:val="16867CF9"/>
    <w:rsid w:val="168E31DA"/>
    <w:rsid w:val="16957217"/>
    <w:rsid w:val="169C0B0A"/>
    <w:rsid w:val="16A92F7F"/>
    <w:rsid w:val="16AB5767"/>
    <w:rsid w:val="16AC7DE6"/>
    <w:rsid w:val="16AD2DDE"/>
    <w:rsid w:val="16BC4744"/>
    <w:rsid w:val="16C255D3"/>
    <w:rsid w:val="16C37F07"/>
    <w:rsid w:val="16D26176"/>
    <w:rsid w:val="16D27697"/>
    <w:rsid w:val="16D43050"/>
    <w:rsid w:val="16D64532"/>
    <w:rsid w:val="16D74EAB"/>
    <w:rsid w:val="16DF5A9A"/>
    <w:rsid w:val="16E424E0"/>
    <w:rsid w:val="16E92604"/>
    <w:rsid w:val="16F70307"/>
    <w:rsid w:val="16F9239A"/>
    <w:rsid w:val="16FD7A0D"/>
    <w:rsid w:val="1701616D"/>
    <w:rsid w:val="170261C6"/>
    <w:rsid w:val="170743D0"/>
    <w:rsid w:val="170F75DB"/>
    <w:rsid w:val="17156309"/>
    <w:rsid w:val="17167618"/>
    <w:rsid w:val="171C1EBB"/>
    <w:rsid w:val="172A759A"/>
    <w:rsid w:val="17305AC4"/>
    <w:rsid w:val="17321D47"/>
    <w:rsid w:val="1732651A"/>
    <w:rsid w:val="17425C04"/>
    <w:rsid w:val="17455756"/>
    <w:rsid w:val="174A0C51"/>
    <w:rsid w:val="174B5EF9"/>
    <w:rsid w:val="174F2E48"/>
    <w:rsid w:val="17561367"/>
    <w:rsid w:val="17610924"/>
    <w:rsid w:val="177309EC"/>
    <w:rsid w:val="17743FB9"/>
    <w:rsid w:val="1776750D"/>
    <w:rsid w:val="177A0853"/>
    <w:rsid w:val="1786367E"/>
    <w:rsid w:val="17872851"/>
    <w:rsid w:val="178F3140"/>
    <w:rsid w:val="1790575D"/>
    <w:rsid w:val="17921C16"/>
    <w:rsid w:val="179255A4"/>
    <w:rsid w:val="179E1041"/>
    <w:rsid w:val="17A75747"/>
    <w:rsid w:val="17AC2D4F"/>
    <w:rsid w:val="17AE317B"/>
    <w:rsid w:val="17C033DB"/>
    <w:rsid w:val="17C77E8B"/>
    <w:rsid w:val="17CE71BE"/>
    <w:rsid w:val="17D006BD"/>
    <w:rsid w:val="17D101A9"/>
    <w:rsid w:val="17D239A5"/>
    <w:rsid w:val="17D439C9"/>
    <w:rsid w:val="17DC130B"/>
    <w:rsid w:val="17F3037E"/>
    <w:rsid w:val="17F60D95"/>
    <w:rsid w:val="17FA1E61"/>
    <w:rsid w:val="18053424"/>
    <w:rsid w:val="180570E0"/>
    <w:rsid w:val="180B1842"/>
    <w:rsid w:val="18224BDA"/>
    <w:rsid w:val="182948CB"/>
    <w:rsid w:val="182C0872"/>
    <w:rsid w:val="182E1A15"/>
    <w:rsid w:val="18306CDD"/>
    <w:rsid w:val="18313691"/>
    <w:rsid w:val="18321DF7"/>
    <w:rsid w:val="1836092A"/>
    <w:rsid w:val="183A49B2"/>
    <w:rsid w:val="18435648"/>
    <w:rsid w:val="18493F45"/>
    <w:rsid w:val="184C219C"/>
    <w:rsid w:val="184D4113"/>
    <w:rsid w:val="18630137"/>
    <w:rsid w:val="18726B43"/>
    <w:rsid w:val="187C2B9C"/>
    <w:rsid w:val="188042C6"/>
    <w:rsid w:val="188F548E"/>
    <w:rsid w:val="18924512"/>
    <w:rsid w:val="189C1BBC"/>
    <w:rsid w:val="18A01A6C"/>
    <w:rsid w:val="18A5625F"/>
    <w:rsid w:val="18AE5E03"/>
    <w:rsid w:val="18B0376F"/>
    <w:rsid w:val="18B16CA5"/>
    <w:rsid w:val="18B54546"/>
    <w:rsid w:val="18B5658D"/>
    <w:rsid w:val="18B66D78"/>
    <w:rsid w:val="18B949D7"/>
    <w:rsid w:val="18D218A3"/>
    <w:rsid w:val="18D55FCF"/>
    <w:rsid w:val="18DC251F"/>
    <w:rsid w:val="18DD328C"/>
    <w:rsid w:val="18DF5436"/>
    <w:rsid w:val="18E36CC6"/>
    <w:rsid w:val="18F26BB9"/>
    <w:rsid w:val="18F60718"/>
    <w:rsid w:val="190612A1"/>
    <w:rsid w:val="19074207"/>
    <w:rsid w:val="190A6BAF"/>
    <w:rsid w:val="190B6CC6"/>
    <w:rsid w:val="190E1968"/>
    <w:rsid w:val="190E1B60"/>
    <w:rsid w:val="19113700"/>
    <w:rsid w:val="19236773"/>
    <w:rsid w:val="19247147"/>
    <w:rsid w:val="19374366"/>
    <w:rsid w:val="193A4BDD"/>
    <w:rsid w:val="194757B8"/>
    <w:rsid w:val="194763F0"/>
    <w:rsid w:val="19575788"/>
    <w:rsid w:val="196A2DF5"/>
    <w:rsid w:val="196F25F8"/>
    <w:rsid w:val="19724102"/>
    <w:rsid w:val="19781CC5"/>
    <w:rsid w:val="19806F1A"/>
    <w:rsid w:val="19874A7F"/>
    <w:rsid w:val="19881702"/>
    <w:rsid w:val="198A1473"/>
    <w:rsid w:val="199F1B4B"/>
    <w:rsid w:val="19A74637"/>
    <w:rsid w:val="19A748DB"/>
    <w:rsid w:val="19BA0656"/>
    <w:rsid w:val="19BD4BE0"/>
    <w:rsid w:val="19C506EF"/>
    <w:rsid w:val="19C73165"/>
    <w:rsid w:val="19D62901"/>
    <w:rsid w:val="19E13E9D"/>
    <w:rsid w:val="19F1646D"/>
    <w:rsid w:val="19F56342"/>
    <w:rsid w:val="19F75DB7"/>
    <w:rsid w:val="19F9786B"/>
    <w:rsid w:val="19FE0DD3"/>
    <w:rsid w:val="1A0A21C1"/>
    <w:rsid w:val="1A0F0065"/>
    <w:rsid w:val="1A140D44"/>
    <w:rsid w:val="1A1D4534"/>
    <w:rsid w:val="1A2343EA"/>
    <w:rsid w:val="1A2738C7"/>
    <w:rsid w:val="1A2957F0"/>
    <w:rsid w:val="1A2E28D1"/>
    <w:rsid w:val="1A2F6733"/>
    <w:rsid w:val="1A3871CC"/>
    <w:rsid w:val="1A3D4E6F"/>
    <w:rsid w:val="1A3E2234"/>
    <w:rsid w:val="1A3F3485"/>
    <w:rsid w:val="1A482E6C"/>
    <w:rsid w:val="1A4F2AFD"/>
    <w:rsid w:val="1A5931DF"/>
    <w:rsid w:val="1A5955A0"/>
    <w:rsid w:val="1A5A791A"/>
    <w:rsid w:val="1A64729B"/>
    <w:rsid w:val="1A652862"/>
    <w:rsid w:val="1A66436A"/>
    <w:rsid w:val="1A665379"/>
    <w:rsid w:val="1A7A0DBA"/>
    <w:rsid w:val="1A7C0C84"/>
    <w:rsid w:val="1A803CF2"/>
    <w:rsid w:val="1A8F20C8"/>
    <w:rsid w:val="1A913627"/>
    <w:rsid w:val="1A9401AF"/>
    <w:rsid w:val="1A9C4D33"/>
    <w:rsid w:val="1A9F3A10"/>
    <w:rsid w:val="1AA023A3"/>
    <w:rsid w:val="1AAA5E1F"/>
    <w:rsid w:val="1AAB3FC8"/>
    <w:rsid w:val="1AB9186B"/>
    <w:rsid w:val="1ABD15C1"/>
    <w:rsid w:val="1ABE5D88"/>
    <w:rsid w:val="1AC17C6C"/>
    <w:rsid w:val="1AC2776D"/>
    <w:rsid w:val="1AC31325"/>
    <w:rsid w:val="1AC96609"/>
    <w:rsid w:val="1ACE2924"/>
    <w:rsid w:val="1AD00313"/>
    <w:rsid w:val="1AD03238"/>
    <w:rsid w:val="1ADC3DB3"/>
    <w:rsid w:val="1AE64A2F"/>
    <w:rsid w:val="1AED65C8"/>
    <w:rsid w:val="1AF95DBE"/>
    <w:rsid w:val="1B000602"/>
    <w:rsid w:val="1B044187"/>
    <w:rsid w:val="1B0638C9"/>
    <w:rsid w:val="1B091337"/>
    <w:rsid w:val="1B0977C2"/>
    <w:rsid w:val="1B0C26CA"/>
    <w:rsid w:val="1B0F56DD"/>
    <w:rsid w:val="1B1536FF"/>
    <w:rsid w:val="1B1C73CD"/>
    <w:rsid w:val="1B5C3A12"/>
    <w:rsid w:val="1B5D4E2A"/>
    <w:rsid w:val="1B6B1FED"/>
    <w:rsid w:val="1B6B38B0"/>
    <w:rsid w:val="1B6D6F8F"/>
    <w:rsid w:val="1B6D7BDE"/>
    <w:rsid w:val="1B7E47D9"/>
    <w:rsid w:val="1B7F17B4"/>
    <w:rsid w:val="1B837FF7"/>
    <w:rsid w:val="1B8C2A95"/>
    <w:rsid w:val="1B8D0E37"/>
    <w:rsid w:val="1B8D6B3C"/>
    <w:rsid w:val="1B9451EE"/>
    <w:rsid w:val="1B957963"/>
    <w:rsid w:val="1B9756F7"/>
    <w:rsid w:val="1BA0668A"/>
    <w:rsid w:val="1BA202D5"/>
    <w:rsid w:val="1BAB2401"/>
    <w:rsid w:val="1BAB3644"/>
    <w:rsid w:val="1BB213F2"/>
    <w:rsid w:val="1BCA32A6"/>
    <w:rsid w:val="1BD36FEF"/>
    <w:rsid w:val="1BDA71C6"/>
    <w:rsid w:val="1BF867C3"/>
    <w:rsid w:val="1C073B8E"/>
    <w:rsid w:val="1C19643D"/>
    <w:rsid w:val="1C2D1A2B"/>
    <w:rsid w:val="1C2E36A5"/>
    <w:rsid w:val="1C3D50A3"/>
    <w:rsid w:val="1C4A4C74"/>
    <w:rsid w:val="1C4E66AF"/>
    <w:rsid w:val="1C4F0531"/>
    <w:rsid w:val="1C534A61"/>
    <w:rsid w:val="1C5A6120"/>
    <w:rsid w:val="1C6149F5"/>
    <w:rsid w:val="1C627162"/>
    <w:rsid w:val="1C65105F"/>
    <w:rsid w:val="1C661768"/>
    <w:rsid w:val="1C704EF3"/>
    <w:rsid w:val="1C75443F"/>
    <w:rsid w:val="1C771723"/>
    <w:rsid w:val="1C872E0E"/>
    <w:rsid w:val="1C8F6DF0"/>
    <w:rsid w:val="1C943D14"/>
    <w:rsid w:val="1C9A5EA0"/>
    <w:rsid w:val="1C9B0912"/>
    <w:rsid w:val="1C9B688B"/>
    <w:rsid w:val="1CA513C4"/>
    <w:rsid w:val="1CAD098A"/>
    <w:rsid w:val="1CB362DA"/>
    <w:rsid w:val="1CB86591"/>
    <w:rsid w:val="1CBA6EDE"/>
    <w:rsid w:val="1CBB7CFB"/>
    <w:rsid w:val="1CBE0EA4"/>
    <w:rsid w:val="1CC7011F"/>
    <w:rsid w:val="1CD01E5F"/>
    <w:rsid w:val="1CD81E07"/>
    <w:rsid w:val="1CE13723"/>
    <w:rsid w:val="1CF8099A"/>
    <w:rsid w:val="1D040848"/>
    <w:rsid w:val="1D1320F5"/>
    <w:rsid w:val="1D186481"/>
    <w:rsid w:val="1D1D4250"/>
    <w:rsid w:val="1D200F05"/>
    <w:rsid w:val="1D21302D"/>
    <w:rsid w:val="1D221A22"/>
    <w:rsid w:val="1D2768F8"/>
    <w:rsid w:val="1D382BD5"/>
    <w:rsid w:val="1D3922E5"/>
    <w:rsid w:val="1D3E57B2"/>
    <w:rsid w:val="1D491C92"/>
    <w:rsid w:val="1D50103B"/>
    <w:rsid w:val="1D50507A"/>
    <w:rsid w:val="1D555EC9"/>
    <w:rsid w:val="1D5B101B"/>
    <w:rsid w:val="1D5B5CBB"/>
    <w:rsid w:val="1D617D12"/>
    <w:rsid w:val="1D666150"/>
    <w:rsid w:val="1D686FCB"/>
    <w:rsid w:val="1D794B7C"/>
    <w:rsid w:val="1D7D4C42"/>
    <w:rsid w:val="1D80590F"/>
    <w:rsid w:val="1D8302B2"/>
    <w:rsid w:val="1D845314"/>
    <w:rsid w:val="1D921EDF"/>
    <w:rsid w:val="1DA26B46"/>
    <w:rsid w:val="1DA62F8C"/>
    <w:rsid w:val="1DA76EC7"/>
    <w:rsid w:val="1DAB7F51"/>
    <w:rsid w:val="1DB816D7"/>
    <w:rsid w:val="1DB84635"/>
    <w:rsid w:val="1DBF6784"/>
    <w:rsid w:val="1DC03F5F"/>
    <w:rsid w:val="1DC11A56"/>
    <w:rsid w:val="1DCC468E"/>
    <w:rsid w:val="1DCC672F"/>
    <w:rsid w:val="1DD108D2"/>
    <w:rsid w:val="1DD92460"/>
    <w:rsid w:val="1DE15E0C"/>
    <w:rsid w:val="1DE445B8"/>
    <w:rsid w:val="1DED750B"/>
    <w:rsid w:val="1DF4541C"/>
    <w:rsid w:val="1DF904CD"/>
    <w:rsid w:val="1E013712"/>
    <w:rsid w:val="1E0E6379"/>
    <w:rsid w:val="1E150EA8"/>
    <w:rsid w:val="1E361983"/>
    <w:rsid w:val="1E3C35CE"/>
    <w:rsid w:val="1E510682"/>
    <w:rsid w:val="1E535852"/>
    <w:rsid w:val="1E560E8F"/>
    <w:rsid w:val="1E5E150E"/>
    <w:rsid w:val="1E5E60FA"/>
    <w:rsid w:val="1E6375C7"/>
    <w:rsid w:val="1E711E94"/>
    <w:rsid w:val="1E73398F"/>
    <w:rsid w:val="1E7403C7"/>
    <w:rsid w:val="1E8570B8"/>
    <w:rsid w:val="1E874EC2"/>
    <w:rsid w:val="1E8C6402"/>
    <w:rsid w:val="1E8F27A4"/>
    <w:rsid w:val="1E930CD2"/>
    <w:rsid w:val="1EA76DBF"/>
    <w:rsid w:val="1EA966C7"/>
    <w:rsid w:val="1EAB158C"/>
    <w:rsid w:val="1EB24428"/>
    <w:rsid w:val="1EB52FCD"/>
    <w:rsid w:val="1EB84EFA"/>
    <w:rsid w:val="1EBC13A5"/>
    <w:rsid w:val="1EC15082"/>
    <w:rsid w:val="1EC31422"/>
    <w:rsid w:val="1EC35910"/>
    <w:rsid w:val="1EC73E39"/>
    <w:rsid w:val="1EC84E81"/>
    <w:rsid w:val="1EE53BFD"/>
    <w:rsid w:val="1EE56832"/>
    <w:rsid w:val="1EEA7E30"/>
    <w:rsid w:val="1EEE2540"/>
    <w:rsid w:val="1EF11AAC"/>
    <w:rsid w:val="1EF800A7"/>
    <w:rsid w:val="1EFE1F92"/>
    <w:rsid w:val="1F0252EB"/>
    <w:rsid w:val="1F1213F1"/>
    <w:rsid w:val="1F1C51FF"/>
    <w:rsid w:val="1F212C3D"/>
    <w:rsid w:val="1F217156"/>
    <w:rsid w:val="1F254DB9"/>
    <w:rsid w:val="1F276F3C"/>
    <w:rsid w:val="1F28649C"/>
    <w:rsid w:val="1F2F3DB9"/>
    <w:rsid w:val="1F351018"/>
    <w:rsid w:val="1F3A0516"/>
    <w:rsid w:val="1F4B6E93"/>
    <w:rsid w:val="1F5005AD"/>
    <w:rsid w:val="1F730357"/>
    <w:rsid w:val="1F7A4217"/>
    <w:rsid w:val="1F7F7D85"/>
    <w:rsid w:val="1F893CCB"/>
    <w:rsid w:val="1F8C39CA"/>
    <w:rsid w:val="1F8E7B66"/>
    <w:rsid w:val="1F9332AA"/>
    <w:rsid w:val="1F954AE8"/>
    <w:rsid w:val="1FA02D6E"/>
    <w:rsid w:val="1FA27229"/>
    <w:rsid w:val="1FA77E30"/>
    <w:rsid w:val="1FAF6346"/>
    <w:rsid w:val="1FB0580B"/>
    <w:rsid w:val="1FBB5224"/>
    <w:rsid w:val="1FC842BF"/>
    <w:rsid w:val="1FC85D83"/>
    <w:rsid w:val="1FCB53AE"/>
    <w:rsid w:val="1FCC6EC7"/>
    <w:rsid w:val="1FCD4932"/>
    <w:rsid w:val="1FD01813"/>
    <w:rsid w:val="1FD95774"/>
    <w:rsid w:val="1FDB0D95"/>
    <w:rsid w:val="1FDF7ECA"/>
    <w:rsid w:val="1FE23B28"/>
    <w:rsid w:val="1FEF0943"/>
    <w:rsid w:val="1FF34027"/>
    <w:rsid w:val="1FF478A0"/>
    <w:rsid w:val="1FF660EE"/>
    <w:rsid w:val="1FF928EB"/>
    <w:rsid w:val="200E7263"/>
    <w:rsid w:val="20144356"/>
    <w:rsid w:val="20193D8C"/>
    <w:rsid w:val="20325807"/>
    <w:rsid w:val="20366D40"/>
    <w:rsid w:val="203C4CB0"/>
    <w:rsid w:val="204143B1"/>
    <w:rsid w:val="20450A76"/>
    <w:rsid w:val="20455F9C"/>
    <w:rsid w:val="2048277F"/>
    <w:rsid w:val="204C04BE"/>
    <w:rsid w:val="206A07F8"/>
    <w:rsid w:val="206B290F"/>
    <w:rsid w:val="206C4172"/>
    <w:rsid w:val="206F0AC5"/>
    <w:rsid w:val="20707DFA"/>
    <w:rsid w:val="207666F5"/>
    <w:rsid w:val="20932CDB"/>
    <w:rsid w:val="209677C0"/>
    <w:rsid w:val="209F3380"/>
    <w:rsid w:val="20A65E88"/>
    <w:rsid w:val="20A65EF4"/>
    <w:rsid w:val="20B10175"/>
    <w:rsid w:val="20C279D2"/>
    <w:rsid w:val="20C60424"/>
    <w:rsid w:val="20C64F44"/>
    <w:rsid w:val="20C7708B"/>
    <w:rsid w:val="20CA7E7C"/>
    <w:rsid w:val="20CB3ED6"/>
    <w:rsid w:val="20D16FA3"/>
    <w:rsid w:val="20D32E58"/>
    <w:rsid w:val="20DF4CBB"/>
    <w:rsid w:val="20E26DBB"/>
    <w:rsid w:val="20EB24DE"/>
    <w:rsid w:val="20EB2DA6"/>
    <w:rsid w:val="20F028B9"/>
    <w:rsid w:val="20F16F41"/>
    <w:rsid w:val="20F22CEF"/>
    <w:rsid w:val="21037E22"/>
    <w:rsid w:val="210C0EA0"/>
    <w:rsid w:val="211C3BA4"/>
    <w:rsid w:val="211D6873"/>
    <w:rsid w:val="21276A5E"/>
    <w:rsid w:val="212E1CBD"/>
    <w:rsid w:val="21321215"/>
    <w:rsid w:val="21335A01"/>
    <w:rsid w:val="2135510C"/>
    <w:rsid w:val="21480A25"/>
    <w:rsid w:val="214C6BAE"/>
    <w:rsid w:val="21552859"/>
    <w:rsid w:val="215A038A"/>
    <w:rsid w:val="215F6940"/>
    <w:rsid w:val="21634590"/>
    <w:rsid w:val="216F15AF"/>
    <w:rsid w:val="217219FC"/>
    <w:rsid w:val="217659A6"/>
    <w:rsid w:val="217C0F13"/>
    <w:rsid w:val="218611EF"/>
    <w:rsid w:val="218B5863"/>
    <w:rsid w:val="219342F2"/>
    <w:rsid w:val="21A1056E"/>
    <w:rsid w:val="21B033BF"/>
    <w:rsid w:val="21C018F9"/>
    <w:rsid w:val="21C82FBB"/>
    <w:rsid w:val="21C927C6"/>
    <w:rsid w:val="21CC6790"/>
    <w:rsid w:val="21DB187D"/>
    <w:rsid w:val="21DD7876"/>
    <w:rsid w:val="21F6798F"/>
    <w:rsid w:val="21F8451D"/>
    <w:rsid w:val="21FC6D7B"/>
    <w:rsid w:val="2207093E"/>
    <w:rsid w:val="220818BA"/>
    <w:rsid w:val="220A51B1"/>
    <w:rsid w:val="220F0C18"/>
    <w:rsid w:val="221141CB"/>
    <w:rsid w:val="221876E8"/>
    <w:rsid w:val="221B2176"/>
    <w:rsid w:val="221D416A"/>
    <w:rsid w:val="221E6431"/>
    <w:rsid w:val="222747E5"/>
    <w:rsid w:val="222A2B5B"/>
    <w:rsid w:val="2232681A"/>
    <w:rsid w:val="22337A77"/>
    <w:rsid w:val="223411A9"/>
    <w:rsid w:val="223748D8"/>
    <w:rsid w:val="224C52DC"/>
    <w:rsid w:val="224E1CA7"/>
    <w:rsid w:val="22555196"/>
    <w:rsid w:val="225E47C7"/>
    <w:rsid w:val="225F5C96"/>
    <w:rsid w:val="22625A45"/>
    <w:rsid w:val="22761B88"/>
    <w:rsid w:val="227F6DF0"/>
    <w:rsid w:val="228A2CA4"/>
    <w:rsid w:val="228B4B7A"/>
    <w:rsid w:val="228F298E"/>
    <w:rsid w:val="22974EE7"/>
    <w:rsid w:val="229A44F1"/>
    <w:rsid w:val="229F7807"/>
    <w:rsid w:val="22A24C5E"/>
    <w:rsid w:val="22A35A32"/>
    <w:rsid w:val="22B1064A"/>
    <w:rsid w:val="22B70A71"/>
    <w:rsid w:val="22B753BA"/>
    <w:rsid w:val="22BE5C7D"/>
    <w:rsid w:val="22CE5FC7"/>
    <w:rsid w:val="22D57C49"/>
    <w:rsid w:val="22E07C3D"/>
    <w:rsid w:val="22E56693"/>
    <w:rsid w:val="22E616E4"/>
    <w:rsid w:val="22EE7125"/>
    <w:rsid w:val="23016B8A"/>
    <w:rsid w:val="230251D8"/>
    <w:rsid w:val="2305156A"/>
    <w:rsid w:val="23074A23"/>
    <w:rsid w:val="230B162E"/>
    <w:rsid w:val="23182713"/>
    <w:rsid w:val="231D4583"/>
    <w:rsid w:val="232B352E"/>
    <w:rsid w:val="232E6641"/>
    <w:rsid w:val="23357DFB"/>
    <w:rsid w:val="233D2ACD"/>
    <w:rsid w:val="233E50E8"/>
    <w:rsid w:val="233F280E"/>
    <w:rsid w:val="234D28E2"/>
    <w:rsid w:val="234D5594"/>
    <w:rsid w:val="2350096A"/>
    <w:rsid w:val="23512449"/>
    <w:rsid w:val="2356600E"/>
    <w:rsid w:val="236A54B5"/>
    <w:rsid w:val="236F4391"/>
    <w:rsid w:val="237943AC"/>
    <w:rsid w:val="23877676"/>
    <w:rsid w:val="239514EB"/>
    <w:rsid w:val="23951E5A"/>
    <w:rsid w:val="23AC7E17"/>
    <w:rsid w:val="23AD00CF"/>
    <w:rsid w:val="23AE7EA3"/>
    <w:rsid w:val="23B25C0A"/>
    <w:rsid w:val="23B50250"/>
    <w:rsid w:val="23B700B7"/>
    <w:rsid w:val="23C57084"/>
    <w:rsid w:val="23CA07F3"/>
    <w:rsid w:val="23CF5D80"/>
    <w:rsid w:val="23DB15CF"/>
    <w:rsid w:val="23DD00D9"/>
    <w:rsid w:val="23E0603C"/>
    <w:rsid w:val="23E17D82"/>
    <w:rsid w:val="23EA2678"/>
    <w:rsid w:val="23F1664E"/>
    <w:rsid w:val="23F16FDB"/>
    <w:rsid w:val="23F60FE4"/>
    <w:rsid w:val="24001973"/>
    <w:rsid w:val="24011809"/>
    <w:rsid w:val="240D6518"/>
    <w:rsid w:val="2412389F"/>
    <w:rsid w:val="24204CC6"/>
    <w:rsid w:val="2420681E"/>
    <w:rsid w:val="24372AB8"/>
    <w:rsid w:val="243C382B"/>
    <w:rsid w:val="24442805"/>
    <w:rsid w:val="2445694D"/>
    <w:rsid w:val="246074EC"/>
    <w:rsid w:val="2467616D"/>
    <w:rsid w:val="24723B28"/>
    <w:rsid w:val="24730D05"/>
    <w:rsid w:val="24735905"/>
    <w:rsid w:val="247A31E6"/>
    <w:rsid w:val="248804BF"/>
    <w:rsid w:val="248C5C4E"/>
    <w:rsid w:val="248E0DFB"/>
    <w:rsid w:val="248F79DE"/>
    <w:rsid w:val="24947C87"/>
    <w:rsid w:val="24992C2E"/>
    <w:rsid w:val="249B61CC"/>
    <w:rsid w:val="249D30BD"/>
    <w:rsid w:val="24A1514F"/>
    <w:rsid w:val="24B14959"/>
    <w:rsid w:val="24BF4891"/>
    <w:rsid w:val="24C6792A"/>
    <w:rsid w:val="24C930A9"/>
    <w:rsid w:val="24C9676D"/>
    <w:rsid w:val="24CA4BA9"/>
    <w:rsid w:val="24D0333E"/>
    <w:rsid w:val="24D141C8"/>
    <w:rsid w:val="24D170D8"/>
    <w:rsid w:val="24D6035B"/>
    <w:rsid w:val="24D66B6D"/>
    <w:rsid w:val="24D75749"/>
    <w:rsid w:val="24D849AF"/>
    <w:rsid w:val="24D97CA6"/>
    <w:rsid w:val="24DF1C13"/>
    <w:rsid w:val="24DF6F6B"/>
    <w:rsid w:val="24E8440C"/>
    <w:rsid w:val="24E85592"/>
    <w:rsid w:val="24EC3C15"/>
    <w:rsid w:val="24F54D0E"/>
    <w:rsid w:val="24F674A9"/>
    <w:rsid w:val="24F70A62"/>
    <w:rsid w:val="24F72A09"/>
    <w:rsid w:val="24FA07DE"/>
    <w:rsid w:val="24FC3048"/>
    <w:rsid w:val="25006528"/>
    <w:rsid w:val="2502229D"/>
    <w:rsid w:val="25153262"/>
    <w:rsid w:val="2525444B"/>
    <w:rsid w:val="252B35A0"/>
    <w:rsid w:val="253243ED"/>
    <w:rsid w:val="25395BFA"/>
    <w:rsid w:val="25432438"/>
    <w:rsid w:val="254A2542"/>
    <w:rsid w:val="254B11E9"/>
    <w:rsid w:val="254D696C"/>
    <w:rsid w:val="25515439"/>
    <w:rsid w:val="255332EF"/>
    <w:rsid w:val="255514A1"/>
    <w:rsid w:val="25701C90"/>
    <w:rsid w:val="25755168"/>
    <w:rsid w:val="257A7530"/>
    <w:rsid w:val="257B74B4"/>
    <w:rsid w:val="2583002A"/>
    <w:rsid w:val="25872B30"/>
    <w:rsid w:val="258B7A1A"/>
    <w:rsid w:val="259872EC"/>
    <w:rsid w:val="25A534F7"/>
    <w:rsid w:val="25AF0742"/>
    <w:rsid w:val="25B60E7B"/>
    <w:rsid w:val="25BF3A99"/>
    <w:rsid w:val="25C27640"/>
    <w:rsid w:val="25C51BAF"/>
    <w:rsid w:val="25C56956"/>
    <w:rsid w:val="25D17308"/>
    <w:rsid w:val="25DF2127"/>
    <w:rsid w:val="25E04AC0"/>
    <w:rsid w:val="25E765FB"/>
    <w:rsid w:val="25EE06B1"/>
    <w:rsid w:val="25EF16D6"/>
    <w:rsid w:val="25F44B6B"/>
    <w:rsid w:val="26032DB2"/>
    <w:rsid w:val="260917B6"/>
    <w:rsid w:val="2611428B"/>
    <w:rsid w:val="2613758E"/>
    <w:rsid w:val="26180793"/>
    <w:rsid w:val="26187451"/>
    <w:rsid w:val="261E79A7"/>
    <w:rsid w:val="261F6BEE"/>
    <w:rsid w:val="26233EDE"/>
    <w:rsid w:val="262704AF"/>
    <w:rsid w:val="26393E4B"/>
    <w:rsid w:val="263C3E49"/>
    <w:rsid w:val="263F15D8"/>
    <w:rsid w:val="26433A52"/>
    <w:rsid w:val="26520620"/>
    <w:rsid w:val="265467F9"/>
    <w:rsid w:val="265E0639"/>
    <w:rsid w:val="26600A48"/>
    <w:rsid w:val="266331DB"/>
    <w:rsid w:val="2669134C"/>
    <w:rsid w:val="266E4B68"/>
    <w:rsid w:val="26722EEA"/>
    <w:rsid w:val="267414ED"/>
    <w:rsid w:val="26771D0F"/>
    <w:rsid w:val="26796197"/>
    <w:rsid w:val="267A25A8"/>
    <w:rsid w:val="267D097A"/>
    <w:rsid w:val="267D4A70"/>
    <w:rsid w:val="26811756"/>
    <w:rsid w:val="26811F8A"/>
    <w:rsid w:val="26842717"/>
    <w:rsid w:val="26887E6F"/>
    <w:rsid w:val="268B73EB"/>
    <w:rsid w:val="268E2699"/>
    <w:rsid w:val="268F67E9"/>
    <w:rsid w:val="26902363"/>
    <w:rsid w:val="26921687"/>
    <w:rsid w:val="2698230F"/>
    <w:rsid w:val="269B1F6B"/>
    <w:rsid w:val="269B6D52"/>
    <w:rsid w:val="269F0358"/>
    <w:rsid w:val="26A626B7"/>
    <w:rsid w:val="26B32270"/>
    <w:rsid w:val="26BC6E06"/>
    <w:rsid w:val="26BD1409"/>
    <w:rsid w:val="26BF09E3"/>
    <w:rsid w:val="26C3722D"/>
    <w:rsid w:val="26C4365A"/>
    <w:rsid w:val="26CD0F41"/>
    <w:rsid w:val="26D309F9"/>
    <w:rsid w:val="26DD484A"/>
    <w:rsid w:val="26E77050"/>
    <w:rsid w:val="26E90A78"/>
    <w:rsid w:val="26ED2E1C"/>
    <w:rsid w:val="26EF6891"/>
    <w:rsid w:val="26F439C9"/>
    <w:rsid w:val="26F54DC3"/>
    <w:rsid w:val="270B714F"/>
    <w:rsid w:val="271022EA"/>
    <w:rsid w:val="27140084"/>
    <w:rsid w:val="27153047"/>
    <w:rsid w:val="27164805"/>
    <w:rsid w:val="27195822"/>
    <w:rsid w:val="2720463B"/>
    <w:rsid w:val="273345A7"/>
    <w:rsid w:val="274D36E3"/>
    <w:rsid w:val="27614501"/>
    <w:rsid w:val="27620F5F"/>
    <w:rsid w:val="27666330"/>
    <w:rsid w:val="276B17E5"/>
    <w:rsid w:val="27802818"/>
    <w:rsid w:val="27843004"/>
    <w:rsid w:val="2786663F"/>
    <w:rsid w:val="2788013C"/>
    <w:rsid w:val="278C5988"/>
    <w:rsid w:val="279007FF"/>
    <w:rsid w:val="279236B7"/>
    <w:rsid w:val="27A06958"/>
    <w:rsid w:val="27A37719"/>
    <w:rsid w:val="27A71E26"/>
    <w:rsid w:val="27A85B5D"/>
    <w:rsid w:val="27B235AD"/>
    <w:rsid w:val="27B65C36"/>
    <w:rsid w:val="27B7504B"/>
    <w:rsid w:val="27C6503F"/>
    <w:rsid w:val="27D64AE2"/>
    <w:rsid w:val="27DE464F"/>
    <w:rsid w:val="27E35C43"/>
    <w:rsid w:val="27E40270"/>
    <w:rsid w:val="27F37196"/>
    <w:rsid w:val="27F5055E"/>
    <w:rsid w:val="27F72068"/>
    <w:rsid w:val="27F73717"/>
    <w:rsid w:val="27FB7596"/>
    <w:rsid w:val="27FE5621"/>
    <w:rsid w:val="28066CC9"/>
    <w:rsid w:val="28077A59"/>
    <w:rsid w:val="280D0CC9"/>
    <w:rsid w:val="280D66A1"/>
    <w:rsid w:val="28156536"/>
    <w:rsid w:val="28162EE2"/>
    <w:rsid w:val="28175A8B"/>
    <w:rsid w:val="28175C27"/>
    <w:rsid w:val="282A2DB6"/>
    <w:rsid w:val="283B1DFA"/>
    <w:rsid w:val="283E14E7"/>
    <w:rsid w:val="285360C1"/>
    <w:rsid w:val="28550CE9"/>
    <w:rsid w:val="285D13A9"/>
    <w:rsid w:val="285D3399"/>
    <w:rsid w:val="287129DC"/>
    <w:rsid w:val="2871429B"/>
    <w:rsid w:val="287350C1"/>
    <w:rsid w:val="28853ADB"/>
    <w:rsid w:val="288F604D"/>
    <w:rsid w:val="289417D6"/>
    <w:rsid w:val="28A32BC5"/>
    <w:rsid w:val="28A414A1"/>
    <w:rsid w:val="28A73882"/>
    <w:rsid w:val="28B65967"/>
    <w:rsid w:val="28CE3078"/>
    <w:rsid w:val="28CF004C"/>
    <w:rsid w:val="28D41273"/>
    <w:rsid w:val="28D75AAE"/>
    <w:rsid w:val="28E000AB"/>
    <w:rsid w:val="28E35EBA"/>
    <w:rsid w:val="28F2134F"/>
    <w:rsid w:val="28F41481"/>
    <w:rsid w:val="28FD17EC"/>
    <w:rsid w:val="29052F62"/>
    <w:rsid w:val="290C442F"/>
    <w:rsid w:val="29140276"/>
    <w:rsid w:val="29226537"/>
    <w:rsid w:val="293402C8"/>
    <w:rsid w:val="29361E74"/>
    <w:rsid w:val="293704BD"/>
    <w:rsid w:val="293D0885"/>
    <w:rsid w:val="293F35B8"/>
    <w:rsid w:val="295860E9"/>
    <w:rsid w:val="296318F0"/>
    <w:rsid w:val="296D100C"/>
    <w:rsid w:val="296D3E2F"/>
    <w:rsid w:val="29753601"/>
    <w:rsid w:val="297724C5"/>
    <w:rsid w:val="297D5340"/>
    <w:rsid w:val="299348EF"/>
    <w:rsid w:val="29986C5D"/>
    <w:rsid w:val="299F2A32"/>
    <w:rsid w:val="29A07066"/>
    <w:rsid w:val="29A86CB8"/>
    <w:rsid w:val="29BA13CF"/>
    <w:rsid w:val="29D77645"/>
    <w:rsid w:val="29DC650B"/>
    <w:rsid w:val="29E67F14"/>
    <w:rsid w:val="29F92B19"/>
    <w:rsid w:val="29FA158A"/>
    <w:rsid w:val="29FB593E"/>
    <w:rsid w:val="2A0548C0"/>
    <w:rsid w:val="2A0D0BEC"/>
    <w:rsid w:val="2A131020"/>
    <w:rsid w:val="2A143D04"/>
    <w:rsid w:val="2A1F3CDA"/>
    <w:rsid w:val="2A1F404C"/>
    <w:rsid w:val="2A1F775C"/>
    <w:rsid w:val="2A2013EB"/>
    <w:rsid w:val="2A287B7B"/>
    <w:rsid w:val="2A2B378D"/>
    <w:rsid w:val="2A3A0F86"/>
    <w:rsid w:val="2A4169D7"/>
    <w:rsid w:val="2A461D92"/>
    <w:rsid w:val="2A4F03FB"/>
    <w:rsid w:val="2A531705"/>
    <w:rsid w:val="2A532F0F"/>
    <w:rsid w:val="2A5333FE"/>
    <w:rsid w:val="2A541FD5"/>
    <w:rsid w:val="2A61313B"/>
    <w:rsid w:val="2A661268"/>
    <w:rsid w:val="2A687684"/>
    <w:rsid w:val="2A690507"/>
    <w:rsid w:val="2A7569F4"/>
    <w:rsid w:val="2A844A23"/>
    <w:rsid w:val="2A906339"/>
    <w:rsid w:val="2A92352A"/>
    <w:rsid w:val="2A9310E4"/>
    <w:rsid w:val="2A937D48"/>
    <w:rsid w:val="2A975A3E"/>
    <w:rsid w:val="2A9C0E84"/>
    <w:rsid w:val="2AA03ECD"/>
    <w:rsid w:val="2AA20801"/>
    <w:rsid w:val="2AAF7300"/>
    <w:rsid w:val="2AB35603"/>
    <w:rsid w:val="2AB713EB"/>
    <w:rsid w:val="2AB87157"/>
    <w:rsid w:val="2AB90808"/>
    <w:rsid w:val="2ABC3535"/>
    <w:rsid w:val="2AC35765"/>
    <w:rsid w:val="2AC77230"/>
    <w:rsid w:val="2AC902E9"/>
    <w:rsid w:val="2ACE6E62"/>
    <w:rsid w:val="2AD078D8"/>
    <w:rsid w:val="2AD27DF8"/>
    <w:rsid w:val="2AD35975"/>
    <w:rsid w:val="2AD56766"/>
    <w:rsid w:val="2ADD7513"/>
    <w:rsid w:val="2ADE5A9A"/>
    <w:rsid w:val="2AE278D5"/>
    <w:rsid w:val="2AE4285A"/>
    <w:rsid w:val="2AE7743B"/>
    <w:rsid w:val="2B0975D5"/>
    <w:rsid w:val="2B161EAE"/>
    <w:rsid w:val="2B181E15"/>
    <w:rsid w:val="2B2D0F07"/>
    <w:rsid w:val="2B404DF3"/>
    <w:rsid w:val="2B48025B"/>
    <w:rsid w:val="2B4C5204"/>
    <w:rsid w:val="2B546879"/>
    <w:rsid w:val="2B6067DF"/>
    <w:rsid w:val="2B660AC6"/>
    <w:rsid w:val="2B6A4F42"/>
    <w:rsid w:val="2B712ED3"/>
    <w:rsid w:val="2B794DAF"/>
    <w:rsid w:val="2B7E5128"/>
    <w:rsid w:val="2B8E48EA"/>
    <w:rsid w:val="2B8F3E7C"/>
    <w:rsid w:val="2B8F4018"/>
    <w:rsid w:val="2B90145B"/>
    <w:rsid w:val="2B944007"/>
    <w:rsid w:val="2B946FDE"/>
    <w:rsid w:val="2B9524DF"/>
    <w:rsid w:val="2B9B7EE8"/>
    <w:rsid w:val="2BA11A24"/>
    <w:rsid w:val="2BAC29C8"/>
    <w:rsid w:val="2BAF0FCC"/>
    <w:rsid w:val="2BB074E6"/>
    <w:rsid w:val="2BB11BA3"/>
    <w:rsid w:val="2BB3413A"/>
    <w:rsid w:val="2BB84042"/>
    <w:rsid w:val="2BCF2476"/>
    <w:rsid w:val="2BD07EE9"/>
    <w:rsid w:val="2BD84E8E"/>
    <w:rsid w:val="2BDB1790"/>
    <w:rsid w:val="2BE41E72"/>
    <w:rsid w:val="2BE92E63"/>
    <w:rsid w:val="2BEA604E"/>
    <w:rsid w:val="2BF16A80"/>
    <w:rsid w:val="2BF67BF0"/>
    <w:rsid w:val="2C017359"/>
    <w:rsid w:val="2C033E6D"/>
    <w:rsid w:val="2C266AED"/>
    <w:rsid w:val="2C3C740C"/>
    <w:rsid w:val="2C52192D"/>
    <w:rsid w:val="2C532501"/>
    <w:rsid w:val="2C57562D"/>
    <w:rsid w:val="2C5E2811"/>
    <w:rsid w:val="2C637079"/>
    <w:rsid w:val="2C6F5151"/>
    <w:rsid w:val="2C737D53"/>
    <w:rsid w:val="2C752592"/>
    <w:rsid w:val="2C860A51"/>
    <w:rsid w:val="2C890182"/>
    <w:rsid w:val="2C8C6421"/>
    <w:rsid w:val="2C8D1C6B"/>
    <w:rsid w:val="2C9402CA"/>
    <w:rsid w:val="2CAB1467"/>
    <w:rsid w:val="2CC72440"/>
    <w:rsid w:val="2CD053BD"/>
    <w:rsid w:val="2CDC6A17"/>
    <w:rsid w:val="2CE862A6"/>
    <w:rsid w:val="2CEA0468"/>
    <w:rsid w:val="2CED45F7"/>
    <w:rsid w:val="2CF11C8C"/>
    <w:rsid w:val="2D0069B4"/>
    <w:rsid w:val="2D03421C"/>
    <w:rsid w:val="2D171865"/>
    <w:rsid w:val="2D1A5756"/>
    <w:rsid w:val="2D1C5F3E"/>
    <w:rsid w:val="2D291565"/>
    <w:rsid w:val="2D433487"/>
    <w:rsid w:val="2D437483"/>
    <w:rsid w:val="2D5249D1"/>
    <w:rsid w:val="2D57715C"/>
    <w:rsid w:val="2D620EFE"/>
    <w:rsid w:val="2D636E4A"/>
    <w:rsid w:val="2D667938"/>
    <w:rsid w:val="2D6C3260"/>
    <w:rsid w:val="2D6F5A43"/>
    <w:rsid w:val="2D714213"/>
    <w:rsid w:val="2D781D43"/>
    <w:rsid w:val="2D7860C3"/>
    <w:rsid w:val="2D7E1A80"/>
    <w:rsid w:val="2D852BB6"/>
    <w:rsid w:val="2D974F3E"/>
    <w:rsid w:val="2D984C5A"/>
    <w:rsid w:val="2D9B16BD"/>
    <w:rsid w:val="2DA436A6"/>
    <w:rsid w:val="2DAD3E54"/>
    <w:rsid w:val="2DB36B58"/>
    <w:rsid w:val="2DB40C8C"/>
    <w:rsid w:val="2DB643AA"/>
    <w:rsid w:val="2DBA69E7"/>
    <w:rsid w:val="2DBD48E4"/>
    <w:rsid w:val="2DC21F73"/>
    <w:rsid w:val="2DC762AA"/>
    <w:rsid w:val="2DC934F8"/>
    <w:rsid w:val="2DDC0977"/>
    <w:rsid w:val="2DDC34B9"/>
    <w:rsid w:val="2DE82142"/>
    <w:rsid w:val="2DEB31CA"/>
    <w:rsid w:val="2DF56725"/>
    <w:rsid w:val="2DFC2A0F"/>
    <w:rsid w:val="2E017E42"/>
    <w:rsid w:val="2E0224A8"/>
    <w:rsid w:val="2E056DE4"/>
    <w:rsid w:val="2E1131B0"/>
    <w:rsid w:val="2E1A69D2"/>
    <w:rsid w:val="2E247211"/>
    <w:rsid w:val="2E350EAB"/>
    <w:rsid w:val="2E4E266F"/>
    <w:rsid w:val="2E4E5A2D"/>
    <w:rsid w:val="2E6D65FD"/>
    <w:rsid w:val="2E7630C6"/>
    <w:rsid w:val="2E764053"/>
    <w:rsid w:val="2E7F5C15"/>
    <w:rsid w:val="2E825FF2"/>
    <w:rsid w:val="2E8434C2"/>
    <w:rsid w:val="2E9253D7"/>
    <w:rsid w:val="2E93542D"/>
    <w:rsid w:val="2E9B2660"/>
    <w:rsid w:val="2EA43005"/>
    <w:rsid w:val="2EAC7802"/>
    <w:rsid w:val="2EAE1E09"/>
    <w:rsid w:val="2EB5032D"/>
    <w:rsid w:val="2EC453A2"/>
    <w:rsid w:val="2ED158EE"/>
    <w:rsid w:val="2EE908AF"/>
    <w:rsid w:val="2EEE6EC9"/>
    <w:rsid w:val="2EF038BD"/>
    <w:rsid w:val="2EF432E8"/>
    <w:rsid w:val="2EF4419F"/>
    <w:rsid w:val="2EFC1467"/>
    <w:rsid w:val="2EFE3623"/>
    <w:rsid w:val="2F150A08"/>
    <w:rsid w:val="2F153757"/>
    <w:rsid w:val="2F217B60"/>
    <w:rsid w:val="2F2425E0"/>
    <w:rsid w:val="2F2700F2"/>
    <w:rsid w:val="2F344530"/>
    <w:rsid w:val="2F3E72B1"/>
    <w:rsid w:val="2F46339D"/>
    <w:rsid w:val="2F4A6D67"/>
    <w:rsid w:val="2F560A00"/>
    <w:rsid w:val="2F571D49"/>
    <w:rsid w:val="2F5E5727"/>
    <w:rsid w:val="2F6126A2"/>
    <w:rsid w:val="2F6421E0"/>
    <w:rsid w:val="2F6479F4"/>
    <w:rsid w:val="2F780994"/>
    <w:rsid w:val="2F7D355D"/>
    <w:rsid w:val="2F7D6E01"/>
    <w:rsid w:val="2F7E0DDF"/>
    <w:rsid w:val="2F81210B"/>
    <w:rsid w:val="2F826105"/>
    <w:rsid w:val="2F8C0219"/>
    <w:rsid w:val="2F9B6CC8"/>
    <w:rsid w:val="2FA22965"/>
    <w:rsid w:val="2FAA043B"/>
    <w:rsid w:val="2FB23388"/>
    <w:rsid w:val="2FB37517"/>
    <w:rsid w:val="2FB425F3"/>
    <w:rsid w:val="2FB6309F"/>
    <w:rsid w:val="2FB94D30"/>
    <w:rsid w:val="2FBA5D7D"/>
    <w:rsid w:val="2FC52045"/>
    <w:rsid w:val="2FCD2D78"/>
    <w:rsid w:val="2FE07AC4"/>
    <w:rsid w:val="2FE55CA9"/>
    <w:rsid w:val="2FF5396D"/>
    <w:rsid w:val="2FFA4973"/>
    <w:rsid w:val="30003D5A"/>
    <w:rsid w:val="300204E6"/>
    <w:rsid w:val="30025CC9"/>
    <w:rsid w:val="30036441"/>
    <w:rsid w:val="300635B2"/>
    <w:rsid w:val="300D263B"/>
    <w:rsid w:val="30135890"/>
    <w:rsid w:val="30270F38"/>
    <w:rsid w:val="30276902"/>
    <w:rsid w:val="30282C52"/>
    <w:rsid w:val="30353E8E"/>
    <w:rsid w:val="30353EF9"/>
    <w:rsid w:val="30367225"/>
    <w:rsid w:val="304204E0"/>
    <w:rsid w:val="3042487F"/>
    <w:rsid w:val="30460335"/>
    <w:rsid w:val="30522758"/>
    <w:rsid w:val="30531B86"/>
    <w:rsid w:val="305C20C2"/>
    <w:rsid w:val="305F63EE"/>
    <w:rsid w:val="30610887"/>
    <w:rsid w:val="3078716A"/>
    <w:rsid w:val="30795E18"/>
    <w:rsid w:val="30796B78"/>
    <w:rsid w:val="308504F4"/>
    <w:rsid w:val="30850F10"/>
    <w:rsid w:val="308C225B"/>
    <w:rsid w:val="308C6A3E"/>
    <w:rsid w:val="308C788A"/>
    <w:rsid w:val="308D07D7"/>
    <w:rsid w:val="308D6FB8"/>
    <w:rsid w:val="308E4BBD"/>
    <w:rsid w:val="308F2D5C"/>
    <w:rsid w:val="3095631B"/>
    <w:rsid w:val="309B68C9"/>
    <w:rsid w:val="30A66A4E"/>
    <w:rsid w:val="30AA20E3"/>
    <w:rsid w:val="30B112E6"/>
    <w:rsid w:val="30B34FB9"/>
    <w:rsid w:val="30BA5D6C"/>
    <w:rsid w:val="30C018BC"/>
    <w:rsid w:val="30C43F84"/>
    <w:rsid w:val="30C531CB"/>
    <w:rsid w:val="30C91BF2"/>
    <w:rsid w:val="30D73535"/>
    <w:rsid w:val="30DC3743"/>
    <w:rsid w:val="30E13E0C"/>
    <w:rsid w:val="30EA6915"/>
    <w:rsid w:val="30EE7630"/>
    <w:rsid w:val="30F47977"/>
    <w:rsid w:val="30F644A5"/>
    <w:rsid w:val="30FB58DD"/>
    <w:rsid w:val="30FD6602"/>
    <w:rsid w:val="30FE19B9"/>
    <w:rsid w:val="31007929"/>
    <w:rsid w:val="31034922"/>
    <w:rsid w:val="31085171"/>
    <w:rsid w:val="31090B29"/>
    <w:rsid w:val="31092191"/>
    <w:rsid w:val="310C682F"/>
    <w:rsid w:val="310D3334"/>
    <w:rsid w:val="31162497"/>
    <w:rsid w:val="312079DD"/>
    <w:rsid w:val="312852AD"/>
    <w:rsid w:val="31350510"/>
    <w:rsid w:val="3139483D"/>
    <w:rsid w:val="313C7BC6"/>
    <w:rsid w:val="313D4D78"/>
    <w:rsid w:val="3141393B"/>
    <w:rsid w:val="314220BF"/>
    <w:rsid w:val="314D0B44"/>
    <w:rsid w:val="31511DCF"/>
    <w:rsid w:val="315A13F6"/>
    <w:rsid w:val="315B7D6B"/>
    <w:rsid w:val="315B7D73"/>
    <w:rsid w:val="315F7F9B"/>
    <w:rsid w:val="31642AFE"/>
    <w:rsid w:val="31661F26"/>
    <w:rsid w:val="31675C86"/>
    <w:rsid w:val="316A53D9"/>
    <w:rsid w:val="316A71F6"/>
    <w:rsid w:val="316F2C59"/>
    <w:rsid w:val="317D4A2D"/>
    <w:rsid w:val="317F7B65"/>
    <w:rsid w:val="31882839"/>
    <w:rsid w:val="318878F8"/>
    <w:rsid w:val="31942C78"/>
    <w:rsid w:val="3197046A"/>
    <w:rsid w:val="31976D1C"/>
    <w:rsid w:val="319C3037"/>
    <w:rsid w:val="319F35B6"/>
    <w:rsid w:val="319F37F8"/>
    <w:rsid w:val="31A214F3"/>
    <w:rsid w:val="31A519B6"/>
    <w:rsid w:val="31AE24BF"/>
    <w:rsid w:val="31AE556A"/>
    <w:rsid w:val="31BB18EF"/>
    <w:rsid w:val="31C7471D"/>
    <w:rsid w:val="31CB79C1"/>
    <w:rsid w:val="31CF55A9"/>
    <w:rsid w:val="31D20899"/>
    <w:rsid w:val="31D5771E"/>
    <w:rsid w:val="31D83F38"/>
    <w:rsid w:val="31D964A0"/>
    <w:rsid w:val="31DD7FBE"/>
    <w:rsid w:val="31E05B00"/>
    <w:rsid w:val="31E37BD1"/>
    <w:rsid w:val="31EC7082"/>
    <w:rsid w:val="31EF641D"/>
    <w:rsid w:val="31F8007A"/>
    <w:rsid w:val="31FA4854"/>
    <w:rsid w:val="321D0651"/>
    <w:rsid w:val="322335EF"/>
    <w:rsid w:val="32270B61"/>
    <w:rsid w:val="32275B6C"/>
    <w:rsid w:val="32334A13"/>
    <w:rsid w:val="323B6244"/>
    <w:rsid w:val="326A1BE4"/>
    <w:rsid w:val="326C64CE"/>
    <w:rsid w:val="3273791F"/>
    <w:rsid w:val="32774C9D"/>
    <w:rsid w:val="3278611A"/>
    <w:rsid w:val="327E6094"/>
    <w:rsid w:val="3287377F"/>
    <w:rsid w:val="329731BC"/>
    <w:rsid w:val="32980F73"/>
    <w:rsid w:val="32A57563"/>
    <w:rsid w:val="32AC0638"/>
    <w:rsid w:val="32BC7ED2"/>
    <w:rsid w:val="32C24C3E"/>
    <w:rsid w:val="32C93C17"/>
    <w:rsid w:val="32CC2189"/>
    <w:rsid w:val="32DD06BD"/>
    <w:rsid w:val="32E4521E"/>
    <w:rsid w:val="32E613BE"/>
    <w:rsid w:val="32E70287"/>
    <w:rsid w:val="32E7603D"/>
    <w:rsid w:val="32EC17E6"/>
    <w:rsid w:val="32EF6FC9"/>
    <w:rsid w:val="32F1285E"/>
    <w:rsid w:val="32F555E9"/>
    <w:rsid w:val="33003C0E"/>
    <w:rsid w:val="330813E9"/>
    <w:rsid w:val="331477F5"/>
    <w:rsid w:val="331A2511"/>
    <w:rsid w:val="331F22BD"/>
    <w:rsid w:val="33205E05"/>
    <w:rsid w:val="33236153"/>
    <w:rsid w:val="33256A54"/>
    <w:rsid w:val="332879D9"/>
    <w:rsid w:val="332A4CE7"/>
    <w:rsid w:val="333C0B95"/>
    <w:rsid w:val="333D5E37"/>
    <w:rsid w:val="333F6EB5"/>
    <w:rsid w:val="33433D9F"/>
    <w:rsid w:val="334F6B93"/>
    <w:rsid w:val="33517150"/>
    <w:rsid w:val="335B202B"/>
    <w:rsid w:val="33753B52"/>
    <w:rsid w:val="337E4789"/>
    <w:rsid w:val="337F194A"/>
    <w:rsid w:val="33964265"/>
    <w:rsid w:val="339A18D4"/>
    <w:rsid w:val="33B001FB"/>
    <w:rsid w:val="33BB3BEC"/>
    <w:rsid w:val="33C57CD6"/>
    <w:rsid w:val="33CF4F0C"/>
    <w:rsid w:val="33D855F1"/>
    <w:rsid w:val="33DC524F"/>
    <w:rsid w:val="33EF2839"/>
    <w:rsid w:val="33F43803"/>
    <w:rsid w:val="33F73288"/>
    <w:rsid w:val="33FF2456"/>
    <w:rsid w:val="340569FC"/>
    <w:rsid w:val="34070A72"/>
    <w:rsid w:val="341062F8"/>
    <w:rsid w:val="3411759C"/>
    <w:rsid w:val="342164C2"/>
    <w:rsid w:val="343109E3"/>
    <w:rsid w:val="34461AE9"/>
    <w:rsid w:val="344B59B2"/>
    <w:rsid w:val="34510D7E"/>
    <w:rsid w:val="34547B12"/>
    <w:rsid w:val="34551D07"/>
    <w:rsid w:val="34585410"/>
    <w:rsid w:val="34593F28"/>
    <w:rsid w:val="345E204F"/>
    <w:rsid w:val="34683298"/>
    <w:rsid w:val="34790557"/>
    <w:rsid w:val="3483735E"/>
    <w:rsid w:val="348647D8"/>
    <w:rsid w:val="34902DE6"/>
    <w:rsid w:val="349638FE"/>
    <w:rsid w:val="349F269F"/>
    <w:rsid w:val="34A01296"/>
    <w:rsid w:val="34AD636D"/>
    <w:rsid w:val="34AE2DD4"/>
    <w:rsid w:val="34BD0B23"/>
    <w:rsid w:val="34BE2D10"/>
    <w:rsid w:val="34C02CE6"/>
    <w:rsid w:val="34C2011F"/>
    <w:rsid w:val="34C224C9"/>
    <w:rsid w:val="34D26CFA"/>
    <w:rsid w:val="34D35AEF"/>
    <w:rsid w:val="34D37972"/>
    <w:rsid w:val="34D77C51"/>
    <w:rsid w:val="34DF5F9A"/>
    <w:rsid w:val="34F538F6"/>
    <w:rsid w:val="34FF11D3"/>
    <w:rsid w:val="34FF680D"/>
    <w:rsid w:val="35012562"/>
    <w:rsid w:val="35021B23"/>
    <w:rsid w:val="350301A9"/>
    <w:rsid w:val="35045BB5"/>
    <w:rsid w:val="35130D18"/>
    <w:rsid w:val="35194A87"/>
    <w:rsid w:val="352F60E7"/>
    <w:rsid w:val="35437BC5"/>
    <w:rsid w:val="35442DD4"/>
    <w:rsid w:val="35533710"/>
    <w:rsid w:val="35560328"/>
    <w:rsid w:val="355C2E36"/>
    <w:rsid w:val="355C77DC"/>
    <w:rsid w:val="355D76FF"/>
    <w:rsid w:val="35616489"/>
    <w:rsid w:val="35616763"/>
    <w:rsid w:val="35636AB2"/>
    <w:rsid w:val="35671005"/>
    <w:rsid w:val="357836AB"/>
    <w:rsid w:val="357A38F4"/>
    <w:rsid w:val="35800833"/>
    <w:rsid w:val="35836249"/>
    <w:rsid w:val="35861FA6"/>
    <w:rsid w:val="358E1D3E"/>
    <w:rsid w:val="3591470A"/>
    <w:rsid w:val="359D1070"/>
    <w:rsid w:val="35A163C6"/>
    <w:rsid w:val="35A23180"/>
    <w:rsid w:val="35AA790F"/>
    <w:rsid w:val="35B40B4F"/>
    <w:rsid w:val="35B64FD1"/>
    <w:rsid w:val="35BC1174"/>
    <w:rsid w:val="35C34512"/>
    <w:rsid w:val="35D265DF"/>
    <w:rsid w:val="35D9426F"/>
    <w:rsid w:val="35EA4E33"/>
    <w:rsid w:val="35F02EF3"/>
    <w:rsid w:val="35F14EC0"/>
    <w:rsid w:val="35F43894"/>
    <w:rsid w:val="35F46F3F"/>
    <w:rsid w:val="35FB7238"/>
    <w:rsid w:val="35FC1C79"/>
    <w:rsid w:val="35FF7227"/>
    <w:rsid w:val="36022912"/>
    <w:rsid w:val="360B2B26"/>
    <w:rsid w:val="36135265"/>
    <w:rsid w:val="36196EEB"/>
    <w:rsid w:val="362929E9"/>
    <w:rsid w:val="362A3423"/>
    <w:rsid w:val="362A38BC"/>
    <w:rsid w:val="362C2535"/>
    <w:rsid w:val="362F1A0D"/>
    <w:rsid w:val="36350BD3"/>
    <w:rsid w:val="36483A67"/>
    <w:rsid w:val="364A02EC"/>
    <w:rsid w:val="3650146C"/>
    <w:rsid w:val="36520761"/>
    <w:rsid w:val="365F59C0"/>
    <w:rsid w:val="366C3CE2"/>
    <w:rsid w:val="367B1171"/>
    <w:rsid w:val="367F3196"/>
    <w:rsid w:val="36833A82"/>
    <w:rsid w:val="368A3C4E"/>
    <w:rsid w:val="368E276D"/>
    <w:rsid w:val="36915CB2"/>
    <w:rsid w:val="3696799C"/>
    <w:rsid w:val="369807AB"/>
    <w:rsid w:val="36A237C3"/>
    <w:rsid w:val="36A31698"/>
    <w:rsid w:val="36AC704D"/>
    <w:rsid w:val="36B711E8"/>
    <w:rsid w:val="36BA5016"/>
    <w:rsid w:val="36C0677F"/>
    <w:rsid w:val="36CC5901"/>
    <w:rsid w:val="36D06648"/>
    <w:rsid w:val="36D07EF3"/>
    <w:rsid w:val="36D114C5"/>
    <w:rsid w:val="36D25674"/>
    <w:rsid w:val="36E04AD7"/>
    <w:rsid w:val="36E37CC7"/>
    <w:rsid w:val="36E5485E"/>
    <w:rsid w:val="36E56E85"/>
    <w:rsid w:val="36E677B1"/>
    <w:rsid w:val="36EB489B"/>
    <w:rsid w:val="36EC04C3"/>
    <w:rsid w:val="36F37220"/>
    <w:rsid w:val="36F4061A"/>
    <w:rsid w:val="36F804D6"/>
    <w:rsid w:val="37036FE3"/>
    <w:rsid w:val="370779CB"/>
    <w:rsid w:val="370C5888"/>
    <w:rsid w:val="370F5DC3"/>
    <w:rsid w:val="37117915"/>
    <w:rsid w:val="37156E50"/>
    <w:rsid w:val="37250B0B"/>
    <w:rsid w:val="373056A4"/>
    <w:rsid w:val="373569A8"/>
    <w:rsid w:val="373A2E6A"/>
    <w:rsid w:val="373E36B6"/>
    <w:rsid w:val="37423050"/>
    <w:rsid w:val="3747513E"/>
    <w:rsid w:val="375074D5"/>
    <w:rsid w:val="375756CE"/>
    <w:rsid w:val="37597BA6"/>
    <w:rsid w:val="375B6D73"/>
    <w:rsid w:val="376D0660"/>
    <w:rsid w:val="376F0686"/>
    <w:rsid w:val="376F35B2"/>
    <w:rsid w:val="37736975"/>
    <w:rsid w:val="378752BD"/>
    <w:rsid w:val="378B067E"/>
    <w:rsid w:val="379151F3"/>
    <w:rsid w:val="37AA6E95"/>
    <w:rsid w:val="37B508A0"/>
    <w:rsid w:val="37B70A7B"/>
    <w:rsid w:val="37B925B9"/>
    <w:rsid w:val="37BC32F4"/>
    <w:rsid w:val="37BF5EB8"/>
    <w:rsid w:val="37C20726"/>
    <w:rsid w:val="37C746A0"/>
    <w:rsid w:val="37CD79C5"/>
    <w:rsid w:val="37D76611"/>
    <w:rsid w:val="37DE71C1"/>
    <w:rsid w:val="37E03871"/>
    <w:rsid w:val="37E076CA"/>
    <w:rsid w:val="37E72FB2"/>
    <w:rsid w:val="37E83C81"/>
    <w:rsid w:val="37F03271"/>
    <w:rsid w:val="37F720BC"/>
    <w:rsid w:val="380C75DB"/>
    <w:rsid w:val="380D1961"/>
    <w:rsid w:val="38125DB1"/>
    <w:rsid w:val="3816590D"/>
    <w:rsid w:val="38217885"/>
    <w:rsid w:val="382611C8"/>
    <w:rsid w:val="38281DC9"/>
    <w:rsid w:val="382B5548"/>
    <w:rsid w:val="384A0A09"/>
    <w:rsid w:val="384B7F36"/>
    <w:rsid w:val="384E02BB"/>
    <w:rsid w:val="384E6F01"/>
    <w:rsid w:val="38513460"/>
    <w:rsid w:val="385A2412"/>
    <w:rsid w:val="3860095C"/>
    <w:rsid w:val="38661616"/>
    <w:rsid w:val="386F44D8"/>
    <w:rsid w:val="38784FDC"/>
    <w:rsid w:val="387A0D22"/>
    <w:rsid w:val="387A2339"/>
    <w:rsid w:val="387C1D6D"/>
    <w:rsid w:val="388548C2"/>
    <w:rsid w:val="38880168"/>
    <w:rsid w:val="389A4A98"/>
    <w:rsid w:val="389E29D4"/>
    <w:rsid w:val="389F2D7F"/>
    <w:rsid w:val="38A255C3"/>
    <w:rsid w:val="38A64065"/>
    <w:rsid w:val="38A815D4"/>
    <w:rsid w:val="38AC3E74"/>
    <w:rsid w:val="38AC46CD"/>
    <w:rsid w:val="38B213D3"/>
    <w:rsid w:val="38BA2E22"/>
    <w:rsid w:val="38BC4F46"/>
    <w:rsid w:val="38BF24D6"/>
    <w:rsid w:val="38C2123C"/>
    <w:rsid w:val="38CB7CCA"/>
    <w:rsid w:val="38D0503B"/>
    <w:rsid w:val="38D233FA"/>
    <w:rsid w:val="38D37C0D"/>
    <w:rsid w:val="38D43BCE"/>
    <w:rsid w:val="38D95ADE"/>
    <w:rsid w:val="38DF34B2"/>
    <w:rsid w:val="38E26073"/>
    <w:rsid w:val="38E72F19"/>
    <w:rsid w:val="38EB3532"/>
    <w:rsid w:val="38F750F1"/>
    <w:rsid w:val="38FD34A3"/>
    <w:rsid w:val="390035F5"/>
    <w:rsid w:val="390214B7"/>
    <w:rsid w:val="39067A8E"/>
    <w:rsid w:val="39081ED2"/>
    <w:rsid w:val="3908323F"/>
    <w:rsid w:val="39115DEE"/>
    <w:rsid w:val="39154CE8"/>
    <w:rsid w:val="391B274A"/>
    <w:rsid w:val="392A76D0"/>
    <w:rsid w:val="39401815"/>
    <w:rsid w:val="39427EDD"/>
    <w:rsid w:val="39457702"/>
    <w:rsid w:val="3948125C"/>
    <w:rsid w:val="3952202F"/>
    <w:rsid w:val="39706D2C"/>
    <w:rsid w:val="397437A1"/>
    <w:rsid w:val="39874E31"/>
    <w:rsid w:val="399E6C02"/>
    <w:rsid w:val="39AE4056"/>
    <w:rsid w:val="39B8060A"/>
    <w:rsid w:val="39CA7F30"/>
    <w:rsid w:val="39CB39D6"/>
    <w:rsid w:val="39D26B30"/>
    <w:rsid w:val="39DA4007"/>
    <w:rsid w:val="39E745C1"/>
    <w:rsid w:val="39EB28CA"/>
    <w:rsid w:val="39ED6F48"/>
    <w:rsid w:val="3A0259EE"/>
    <w:rsid w:val="3A0F6336"/>
    <w:rsid w:val="3A11577C"/>
    <w:rsid w:val="3A1530F4"/>
    <w:rsid w:val="3A2218D5"/>
    <w:rsid w:val="3A312513"/>
    <w:rsid w:val="3A344194"/>
    <w:rsid w:val="3A3838BE"/>
    <w:rsid w:val="3A3912EC"/>
    <w:rsid w:val="3A445698"/>
    <w:rsid w:val="3A483B9E"/>
    <w:rsid w:val="3A49204E"/>
    <w:rsid w:val="3A4D7585"/>
    <w:rsid w:val="3A4F0473"/>
    <w:rsid w:val="3A514ED5"/>
    <w:rsid w:val="3A535337"/>
    <w:rsid w:val="3A5D01D6"/>
    <w:rsid w:val="3A62430C"/>
    <w:rsid w:val="3A6A548D"/>
    <w:rsid w:val="3A7D61CC"/>
    <w:rsid w:val="3A7E700B"/>
    <w:rsid w:val="3A891FD5"/>
    <w:rsid w:val="3A8A0C83"/>
    <w:rsid w:val="3A8A1132"/>
    <w:rsid w:val="3A8B71F5"/>
    <w:rsid w:val="3A8C0451"/>
    <w:rsid w:val="3A905CF2"/>
    <w:rsid w:val="3A955548"/>
    <w:rsid w:val="3A9B0AF0"/>
    <w:rsid w:val="3A9F2324"/>
    <w:rsid w:val="3AAF2291"/>
    <w:rsid w:val="3AB7537F"/>
    <w:rsid w:val="3AC4483F"/>
    <w:rsid w:val="3ACF59D4"/>
    <w:rsid w:val="3AD72CCB"/>
    <w:rsid w:val="3AD80BD2"/>
    <w:rsid w:val="3ADF5EAC"/>
    <w:rsid w:val="3AE129AB"/>
    <w:rsid w:val="3AE22A0C"/>
    <w:rsid w:val="3AF12A72"/>
    <w:rsid w:val="3AF51C8F"/>
    <w:rsid w:val="3AFA633A"/>
    <w:rsid w:val="3B12085E"/>
    <w:rsid w:val="3B123338"/>
    <w:rsid w:val="3B1626B5"/>
    <w:rsid w:val="3B217882"/>
    <w:rsid w:val="3B2B7A49"/>
    <w:rsid w:val="3B2C2478"/>
    <w:rsid w:val="3B435195"/>
    <w:rsid w:val="3B443494"/>
    <w:rsid w:val="3B5042A7"/>
    <w:rsid w:val="3B5277A8"/>
    <w:rsid w:val="3B5B51BA"/>
    <w:rsid w:val="3B6B49ED"/>
    <w:rsid w:val="3B6F66A5"/>
    <w:rsid w:val="3B734785"/>
    <w:rsid w:val="3B7B29BE"/>
    <w:rsid w:val="3B85508F"/>
    <w:rsid w:val="3B986F2F"/>
    <w:rsid w:val="3B9927EC"/>
    <w:rsid w:val="3BA32A3E"/>
    <w:rsid w:val="3BB0761C"/>
    <w:rsid w:val="3BB13CA6"/>
    <w:rsid w:val="3BB17D56"/>
    <w:rsid w:val="3BB3780E"/>
    <w:rsid w:val="3BB723BA"/>
    <w:rsid w:val="3BC633A7"/>
    <w:rsid w:val="3BD05243"/>
    <w:rsid w:val="3BD07E41"/>
    <w:rsid w:val="3BD269A3"/>
    <w:rsid w:val="3BD63D4E"/>
    <w:rsid w:val="3BDE4F90"/>
    <w:rsid w:val="3BE90A40"/>
    <w:rsid w:val="3BF01A7A"/>
    <w:rsid w:val="3BF05586"/>
    <w:rsid w:val="3BF849DD"/>
    <w:rsid w:val="3BFA3A0B"/>
    <w:rsid w:val="3C1C4A1C"/>
    <w:rsid w:val="3C283895"/>
    <w:rsid w:val="3C2E346D"/>
    <w:rsid w:val="3C300464"/>
    <w:rsid w:val="3C31577E"/>
    <w:rsid w:val="3C383F93"/>
    <w:rsid w:val="3C402344"/>
    <w:rsid w:val="3C4125F1"/>
    <w:rsid w:val="3C537B2F"/>
    <w:rsid w:val="3C571DB9"/>
    <w:rsid w:val="3C5A6791"/>
    <w:rsid w:val="3C5D5FFE"/>
    <w:rsid w:val="3C6541EF"/>
    <w:rsid w:val="3C660ECB"/>
    <w:rsid w:val="3C68079B"/>
    <w:rsid w:val="3C6B1FC3"/>
    <w:rsid w:val="3C861B91"/>
    <w:rsid w:val="3C870D15"/>
    <w:rsid w:val="3C8C221A"/>
    <w:rsid w:val="3C982923"/>
    <w:rsid w:val="3C9C315A"/>
    <w:rsid w:val="3C9F746E"/>
    <w:rsid w:val="3CAF5D3B"/>
    <w:rsid w:val="3CBC0F60"/>
    <w:rsid w:val="3CBE57BB"/>
    <w:rsid w:val="3CC11D1F"/>
    <w:rsid w:val="3CC33FB9"/>
    <w:rsid w:val="3CC35875"/>
    <w:rsid w:val="3CD11B71"/>
    <w:rsid w:val="3CD61953"/>
    <w:rsid w:val="3CD90392"/>
    <w:rsid w:val="3CED5ACD"/>
    <w:rsid w:val="3CF6296D"/>
    <w:rsid w:val="3CFE4607"/>
    <w:rsid w:val="3CFF2043"/>
    <w:rsid w:val="3D0450DB"/>
    <w:rsid w:val="3D0C709D"/>
    <w:rsid w:val="3D12562F"/>
    <w:rsid w:val="3D1D7751"/>
    <w:rsid w:val="3D2B64CD"/>
    <w:rsid w:val="3D2E6B1A"/>
    <w:rsid w:val="3D321177"/>
    <w:rsid w:val="3D340BC2"/>
    <w:rsid w:val="3D547984"/>
    <w:rsid w:val="3D5F17A2"/>
    <w:rsid w:val="3D6148DC"/>
    <w:rsid w:val="3D6D5291"/>
    <w:rsid w:val="3D76385E"/>
    <w:rsid w:val="3D7747EB"/>
    <w:rsid w:val="3D7C3A9F"/>
    <w:rsid w:val="3D7D68E8"/>
    <w:rsid w:val="3D7E7233"/>
    <w:rsid w:val="3D7F71B4"/>
    <w:rsid w:val="3D832FBF"/>
    <w:rsid w:val="3D867CFE"/>
    <w:rsid w:val="3D881457"/>
    <w:rsid w:val="3D8C6434"/>
    <w:rsid w:val="3D941CF3"/>
    <w:rsid w:val="3D97020A"/>
    <w:rsid w:val="3DAA066D"/>
    <w:rsid w:val="3DAA133C"/>
    <w:rsid w:val="3DAC41A3"/>
    <w:rsid w:val="3DCC4AC4"/>
    <w:rsid w:val="3DD62277"/>
    <w:rsid w:val="3DD76D48"/>
    <w:rsid w:val="3DD974CE"/>
    <w:rsid w:val="3DDA043C"/>
    <w:rsid w:val="3DE25A91"/>
    <w:rsid w:val="3DE800C8"/>
    <w:rsid w:val="3DEE31A3"/>
    <w:rsid w:val="3DF43ED5"/>
    <w:rsid w:val="3E077545"/>
    <w:rsid w:val="3E12574F"/>
    <w:rsid w:val="3E1C336D"/>
    <w:rsid w:val="3E205A75"/>
    <w:rsid w:val="3E221787"/>
    <w:rsid w:val="3E335860"/>
    <w:rsid w:val="3E342B3A"/>
    <w:rsid w:val="3E3D525D"/>
    <w:rsid w:val="3E3F5126"/>
    <w:rsid w:val="3E4035DA"/>
    <w:rsid w:val="3E403C04"/>
    <w:rsid w:val="3E414740"/>
    <w:rsid w:val="3E617324"/>
    <w:rsid w:val="3E620DC8"/>
    <w:rsid w:val="3E6654CC"/>
    <w:rsid w:val="3E7B6CA1"/>
    <w:rsid w:val="3E877743"/>
    <w:rsid w:val="3E891699"/>
    <w:rsid w:val="3E9111B3"/>
    <w:rsid w:val="3E954760"/>
    <w:rsid w:val="3E9A4418"/>
    <w:rsid w:val="3EA04088"/>
    <w:rsid w:val="3EA42FE1"/>
    <w:rsid w:val="3EA433D9"/>
    <w:rsid w:val="3EA86A8F"/>
    <w:rsid w:val="3EAB08D1"/>
    <w:rsid w:val="3EB01067"/>
    <w:rsid w:val="3EB13803"/>
    <w:rsid w:val="3EBA19B9"/>
    <w:rsid w:val="3EBB566C"/>
    <w:rsid w:val="3ECA25C5"/>
    <w:rsid w:val="3EDE01B4"/>
    <w:rsid w:val="3EF27273"/>
    <w:rsid w:val="3EFE1197"/>
    <w:rsid w:val="3F006DF6"/>
    <w:rsid w:val="3F0623C5"/>
    <w:rsid w:val="3F0912E1"/>
    <w:rsid w:val="3F113157"/>
    <w:rsid w:val="3F17087A"/>
    <w:rsid w:val="3F1F49C8"/>
    <w:rsid w:val="3F211056"/>
    <w:rsid w:val="3F284687"/>
    <w:rsid w:val="3F3051F7"/>
    <w:rsid w:val="3F3D0E7B"/>
    <w:rsid w:val="3F415481"/>
    <w:rsid w:val="3F475658"/>
    <w:rsid w:val="3F475E1B"/>
    <w:rsid w:val="3F4824AC"/>
    <w:rsid w:val="3F4850D1"/>
    <w:rsid w:val="3F48598F"/>
    <w:rsid w:val="3F4B7780"/>
    <w:rsid w:val="3F531C82"/>
    <w:rsid w:val="3F554B04"/>
    <w:rsid w:val="3F603CD5"/>
    <w:rsid w:val="3F646A72"/>
    <w:rsid w:val="3F69103E"/>
    <w:rsid w:val="3F727BA8"/>
    <w:rsid w:val="3F7B467C"/>
    <w:rsid w:val="3F7E7452"/>
    <w:rsid w:val="3F852474"/>
    <w:rsid w:val="3F8534F2"/>
    <w:rsid w:val="3F8D6CDE"/>
    <w:rsid w:val="3F900F36"/>
    <w:rsid w:val="3F93321B"/>
    <w:rsid w:val="3F942F05"/>
    <w:rsid w:val="3FA055E4"/>
    <w:rsid w:val="3FA77D13"/>
    <w:rsid w:val="3FA90CBE"/>
    <w:rsid w:val="3FC479CD"/>
    <w:rsid w:val="3FD86B06"/>
    <w:rsid w:val="3FDA7731"/>
    <w:rsid w:val="3FE250CC"/>
    <w:rsid w:val="3FE45AE8"/>
    <w:rsid w:val="3FF0766E"/>
    <w:rsid w:val="3FF824BD"/>
    <w:rsid w:val="40004925"/>
    <w:rsid w:val="400960CC"/>
    <w:rsid w:val="400A03BD"/>
    <w:rsid w:val="40106B5E"/>
    <w:rsid w:val="401F1C62"/>
    <w:rsid w:val="402A481D"/>
    <w:rsid w:val="404C0741"/>
    <w:rsid w:val="40640533"/>
    <w:rsid w:val="40712FA8"/>
    <w:rsid w:val="4076584C"/>
    <w:rsid w:val="40776C5E"/>
    <w:rsid w:val="408902E7"/>
    <w:rsid w:val="408D0D0A"/>
    <w:rsid w:val="40A224DD"/>
    <w:rsid w:val="40AA7FBC"/>
    <w:rsid w:val="40BA77F5"/>
    <w:rsid w:val="40CD658C"/>
    <w:rsid w:val="40D00C0D"/>
    <w:rsid w:val="40D065EE"/>
    <w:rsid w:val="40D72B59"/>
    <w:rsid w:val="40DF26AF"/>
    <w:rsid w:val="40E06B1F"/>
    <w:rsid w:val="40F01A5F"/>
    <w:rsid w:val="4101034F"/>
    <w:rsid w:val="410E1E47"/>
    <w:rsid w:val="41180D6F"/>
    <w:rsid w:val="4118653E"/>
    <w:rsid w:val="411B0F1D"/>
    <w:rsid w:val="412B3481"/>
    <w:rsid w:val="412C1C6D"/>
    <w:rsid w:val="412E5D3E"/>
    <w:rsid w:val="4145377A"/>
    <w:rsid w:val="414A32FA"/>
    <w:rsid w:val="414F3C81"/>
    <w:rsid w:val="415410F6"/>
    <w:rsid w:val="41563F81"/>
    <w:rsid w:val="415D1275"/>
    <w:rsid w:val="417115F4"/>
    <w:rsid w:val="41726896"/>
    <w:rsid w:val="41796CEC"/>
    <w:rsid w:val="418271DC"/>
    <w:rsid w:val="41836D6E"/>
    <w:rsid w:val="41872E01"/>
    <w:rsid w:val="419A3F7F"/>
    <w:rsid w:val="419B6DC0"/>
    <w:rsid w:val="41A26595"/>
    <w:rsid w:val="41A50C26"/>
    <w:rsid w:val="41AE60AA"/>
    <w:rsid w:val="41B0127D"/>
    <w:rsid w:val="41C160B5"/>
    <w:rsid w:val="41C20163"/>
    <w:rsid w:val="41CC747F"/>
    <w:rsid w:val="41D652AB"/>
    <w:rsid w:val="41DE2280"/>
    <w:rsid w:val="41E9388A"/>
    <w:rsid w:val="41EB0061"/>
    <w:rsid w:val="41F209BD"/>
    <w:rsid w:val="41FB5F9F"/>
    <w:rsid w:val="41FC6B91"/>
    <w:rsid w:val="41FF25C5"/>
    <w:rsid w:val="41FF2C1B"/>
    <w:rsid w:val="42195CDB"/>
    <w:rsid w:val="4222403D"/>
    <w:rsid w:val="42234A93"/>
    <w:rsid w:val="423627C8"/>
    <w:rsid w:val="42364D96"/>
    <w:rsid w:val="42411C14"/>
    <w:rsid w:val="42412E44"/>
    <w:rsid w:val="42424139"/>
    <w:rsid w:val="42425DE8"/>
    <w:rsid w:val="42426CBD"/>
    <w:rsid w:val="4246682B"/>
    <w:rsid w:val="42483760"/>
    <w:rsid w:val="425B2398"/>
    <w:rsid w:val="425C24B7"/>
    <w:rsid w:val="426D1379"/>
    <w:rsid w:val="42706C77"/>
    <w:rsid w:val="42772BB2"/>
    <w:rsid w:val="428220CF"/>
    <w:rsid w:val="4285103C"/>
    <w:rsid w:val="42922DF8"/>
    <w:rsid w:val="429E05A2"/>
    <w:rsid w:val="42A940E1"/>
    <w:rsid w:val="42BE347B"/>
    <w:rsid w:val="42BE4832"/>
    <w:rsid w:val="42BE4C1B"/>
    <w:rsid w:val="42BF6A47"/>
    <w:rsid w:val="42C224C9"/>
    <w:rsid w:val="42C617A5"/>
    <w:rsid w:val="42CA1DA7"/>
    <w:rsid w:val="42CD3E8A"/>
    <w:rsid w:val="42D40B19"/>
    <w:rsid w:val="42E42984"/>
    <w:rsid w:val="42E50026"/>
    <w:rsid w:val="42E92441"/>
    <w:rsid w:val="42EB5019"/>
    <w:rsid w:val="42F84E9A"/>
    <w:rsid w:val="42FF3E00"/>
    <w:rsid w:val="430718BE"/>
    <w:rsid w:val="43081BB5"/>
    <w:rsid w:val="43151304"/>
    <w:rsid w:val="431C0EEA"/>
    <w:rsid w:val="4335364E"/>
    <w:rsid w:val="4348381A"/>
    <w:rsid w:val="43487D61"/>
    <w:rsid w:val="434E3D91"/>
    <w:rsid w:val="43573F91"/>
    <w:rsid w:val="436B6710"/>
    <w:rsid w:val="4371518A"/>
    <w:rsid w:val="43745761"/>
    <w:rsid w:val="43761727"/>
    <w:rsid w:val="437E089E"/>
    <w:rsid w:val="43825471"/>
    <w:rsid w:val="4384782D"/>
    <w:rsid w:val="43852D34"/>
    <w:rsid w:val="43870A63"/>
    <w:rsid w:val="438B1324"/>
    <w:rsid w:val="438E21B3"/>
    <w:rsid w:val="43922ABD"/>
    <w:rsid w:val="43AD4F9B"/>
    <w:rsid w:val="43B77A0C"/>
    <w:rsid w:val="43C81A2F"/>
    <w:rsid w:val="43E61D64"/>
    <w:rsid w:val="43EE472D"/>
    <w:rsid w:val="43EE67C9"/>
    <w:rsid w:val="43F40812"/>
    <w:rsid w:val="43F556C6"/>
    <w:rsid w:val="43F56490"/>
    <w:rsid w:val="43F667ED"/>
    <w:rsid w:val="43FB6526"/>
    <w:rsid w:val="440334FE"/>
    <w:rsid w:val="44055DF1"/>
    <w:rsid w:val="440939C8"/>
    <w:rsid w:val="441E1ACD"/>
    <w:rsid w:val="44201839"/>
    <w:rsid w:val="442149A4"/>
    <w:rsid w:val="44225711"/>
    <w:rsid w:val="442A204C"/>
    <w:rsid w:val="442E2100"/>
    <w:rsid w:val="4432452E"/>
    <w:rsid w:val="444050F3"/>
    <w:rsid w:val="4445734B"/>
    <w:rsid w:val="444C69A5"/>
    <w:rsid w:val="444C7733"/>
    <w:rsid w:val="44704880"/>
    <w:rsid w:val="447D6C1D"/>
    <w:rsid w:val="44815327"/>
    <w:rsid w:val="448A4D27"/>
    <w:rsid w:val="448C34FD"/>
    <w:rsid w:val="44975EE0"/>
    <w:rsid w:val="449937DB"/>
    <w:rsid w:val="449E291C"/>
    <w:rsid w:val="44A25286"/>
    <w:rsid w:val="44A94A1A"/>
    <w:rsid w:val="44C12F64"/>
    <w:rsid w:val="44C717DE"/>
    <w:rsid w:val="44D526C0"/>
    <w:rsid w:val="44D734F6"/>
    <w:rsid w:val="44D85CA7"/>
    <w:rsid w:val="44DA3105"/>
    <w:rsid w:val="44DA47C1"/>
    <w:rsid w:val="44DF5888"/>
    <w:rsid w:val="44E1353D"/>
    <w:rsid w:val="44E20E25"/>
    <w:rsid w:val="44F96F40"/>
    <w:rsid w:val="44FD3980"/>
    <w:rsid w:val="44FE7FDF"/>
    <w:rsid w:val="45014A24"/>
    <w:rsid w:val="4505615F"/>
    <w:rsid w:val="45090053"/>
    <w:rsid w:val="450B1840"/>
    <w:rsid w:val="45102CF2"/>
    <w:rsid w:val="45161EF9"/>
    <w:rsid w:val="45232A34"/>
    <w:rsid w:val="45251B91"/>
    <w:rsid w:val="452A3A1A"/>
    <w:rsid w:val="452D0CF6"/>
    <w:rsid w:val="452D7690"/>
    <w:rsid w:val="452E5673"/>
    <w:rsid w:val="4530463C"/>
    <w:rsid w:val="4532447C"/>
    <w:rsid w:val="453B1F79"/>
    <w:rsid w:val="453E1031"/>
    <w:rsid w:val="4546771F"/>
    <w:rsid w:val="454805FE"/>
    <w:rsid w:val="454D2473"/>
    <w:rsid w:val="454E4FF9"/>
    <w:rsid w:val="45512CE6"/>
    <w:rsid w:val="455F25DF"/>
    <w:rsid w:val="4566153F"/>
    <w:rsid w:val="4569446C"/>
    <w:rsid w:val="456C3D42"/>
    <w:rsid w:val="457639CC"/>
    <w:rsid w:val="45784C02"/>
    <w:rsid w:val="45927501"/>
    <w:rsid w:val="4599315C"/>
    <w:rsid w:val="45A70318"/>
    <w:rsid w:val="45AE52A3"/>
    <w:rsid w:val="45BD097C"/>
    <w:rsid w:val="45C11D75"/>
    <w:rsid w:val="45C84332"/>
    <w:rsid w:val="45CA7E5D"/>
    <w:rsid w:val="45CC6B71"/>
    <w:rsid w:val="45D212DD"/>
    <w:rsid w:val="45D72D60"/>
    <w:rsid w:val="45E03874"/>
    <w:rsid w:val="45F12BF0"/>
    <w:rsid w:val="45FD1EC4"/>
    <w:rsid w:val="4603099C"/>
    <w:rsid w:val="460573BC"/>
    <w:rsid w:val="460A29C3"/>
    <w:rsid w:val="460B0786"/>
    <w:rsid w:val="46135D0B"/>
    <w:rsid w:val="46187C8E"/>
    <w:rsid w:val="4626062B"/>
    <w:rsid w:val="46336BDF"/>
    <w:rsid w:val="463C2B45"/>
    <w:rsid w:val="463C4B98"/>
    <w:rsid w:val="4646654E"/>
    <w:rsid w:val="464A1A68"/>
    <w:rsid w:val="464C33C7"/>
    <w:rsid w:val="464C7BBD"/>
    <w:rsid w:val="46557834"/>
    <w:rsid w:val="46655B9E"/>
    <w:rsid w:val="466C1893"/>
    <w:rsid w:val="466C646E"/>
    <w:rsid w:val="46721D0C"/>
    <w:rsid w:val="46734724"/>
    <w:rsid w:val="467B7747"/>
    <w:rsid w:val="467B7CDA"/>
    <w:rsid w:val="46806394"/>
    <w:rsid w:val="46822DB8"/>
    <w:rsid w:val="46861D58"/>
    <w:rsid w:val="46870BD8"/>
    <w:rsid w:val="468C5164"/>
    <w:rsid w:val="46900E4F"/>
    <w:rsid w:val="469600C8"/>
    <w:rsid w:val="469749D4"/>
    <w:rsid w:val="469F472E"/>
    <w:rsid w:val="46A81EFF"/>
    <w:rsid w:val="46AB29E9"/>
    <w:rsid w:val="46B22714"/>
    <w:rsid w:val="46B94E2A"/>
    <w:rsid w:val="46C6750C"/>
    <w:rsid w:val="46C736D1"/>
    <w:rsid w:val="46D2634E"/>
    <w:rsid w:val="46D84744"/>
    <w:rsid w:val="46E2491C"/>
    <w:rsid w:val="46ED2856"/>
    <w:rsid w:val="46F1003D"/>
    <w:rsid w:val="46F23A27"/>
    <w:rsid w:val="46F4224F"/>
    <w:rsid w:val="47016402"/>
    <w:rsid w:val="470220D1"/>
    <w:rsid w:val="472E51B3"/>
    <w:rsid w:val="4739524E"/>
    <w:rsid w:val="473D656F"/>
    <w:rsid w:val="473E1175"/>
    <w:rsid w:val="47427E7A"/>
    <w:rsid w:val="47591C58"/>
    <w:rsid w:val="47595DF1"/>
    <w:rsid w:val="475C0C2F"/>
    <w:rsid w:val="475C1DF9"/>
    <w:rsid w:val="47605300"/>
    <w:rsid w:val="47690EAD"/>
    <w:rsid w:val="476A2B94"/>
    <w:rsid w:val="476E7F00"/>
    <w:rsid w:val="47785C19"/>
    <w:rsid w:val="477F11A9"/>
    <w:rsid w:val="477F6BA5"/>
    <w:rsid w:val="478804C3"/>
    <w:rsid w:val="479B2FBE"/>
    <w:rsid w:val="479B7CFE"/>
    <w:rsid w:val="47A97CB8"/>
    <w:rsid w:val="47AA41C2"/>
    <w:rsid w:val="47AD7B53"/>
    <w:rsid w:val="47B36E11"/>
    <w:rsid w:val="47C34754"/>
    <w:rsid w:val="47C6695F"/>
    <w:rsid w:val="47C76ADE"/>
    <w:rsid w:val="47D03482"/>
    <w:rsid w:val="47D071DF"/>
    <w:rsid w:val="47D25B6A"/>
    <w:rsid w:val="47DC4C30"/>
    <w:rsid w:val="47EB30CC"/>
    <w:rsid w:val="47F049B9"/>
    <w:rsid w:val="47F16D14"/>
    <w:rsid w:val="47F254E7"/>
    <w:rsid w:val="47F54762"/>
    <w:rsid w:val="480012C4"/>
    <w:rsid w:val="4804681D"/>
    <w:rsid w:val="48085376"/>
    <w:rsid w:val="48104EBB"/>
    <w:rsid w:val="48265E20"/>
    <w:rsid w:val="482A69C0"/>
    <w:rsid w:val="482C3D5D"/>
    <w:rsid w:val="482F2A02"/>
    <w:rsid w:val="48311FD9"/>
    <w:rsid w:val="48330048"/>
    <w:rsid w:val="48340C3E"/>
    <w:rsid w:val="48441593"/>
    <w:rsid w:val="4845355B"/>
    <w:rsid w:val="4846414E"/>
    <w:rsid w:val="48471BB0"/>
    <w:rsid w:val="484A3391"/>
    <w:rsid w:val="48561249"/>
    <w:rsid w:val="48586A3A"/>
    <w:rsid w:val="485E6C3D"/>
    <w:rsid w:val="48604C59"/>
    <w:rsid w:val="488A3913"/>
    <w:rsid w:val="488C045B"/>
    <w:rsid w:val="488C3CB3"/>
    <w:rsid w:val="488F0A81"/>
    <w:rsid w:val="48905E25"/>
    <w:rsid w:val="48947CAA"/>
    <w:rsid w:val="489D61D0"/>
    <w:rsid w:val="48A21201"/>
    <w:rsid w:val="48A535C5"/>
    <w:rsid w:val="48A64709"/>
    <w:rsid w:val="48AB47DA"/>
    <w:rsid w:val="48AB7400"/>
    <w:rsid w:val="48B35B73"/>
    <w:rsid w:val="48B37116"/>
    <w:rsid w:val="48B65743"/>
    <w:rsid w:val="48BC185F"/>
    <w:rsid w:val="48BD07E6"/>
    <w:rsid w:val="48C07896"/>
    <w:rsid w:val="48CF50D7"/>
    <w:rsid w:val="48D21FBF"/>
    <w:rsid w:val="48D315FA"/>
    <w:rsid w:val="48D629C4"/>
    <w:rsid w:val="48D64C23"/>
    <w:rsid w:val="48D7334E"/>
    <w:rsid w:val="48EB5407"/>
    <w:rsid w:val="48EC73F2"/>
    <w:rsid w:val="48ED21B1"/>
    <w:rsid w:val="48EF15E3"/>
    <w:rsid w:val="48F33068"/>
    <w:rsid w:val="48F41205"/>
    <w:rsid w:val="48FB7F14"/>
    <w:rsid w:val="48FD0C47"/>
    <w:rsid w:val="48FD6EAA"/>
    <w:rsid w:val="48FE2D8F"/>
    <w:rsid w:val="490409D7"/>
    <w:rsid w:val="490820A6"/>
    <w:rsid w:val="490A72DA"/>
    <w:rsid w:val="490B2297"/>
    <w:rsid w:val="490D226F"/>
    <w:rsid w:val="49136C37"/>
    <w:rsid w:val="49161566"/>
    <w:rsid w:val="491969CB"/>
    <w:rsid w:val="491F36DB"/>
    <w:rsid w:val="492D6B30"/>
    <w:rsid w:val="493610AA"/>
    <w:rsid w:val="49430394"/>
    <w:rsid w:val="49441DC3"/>
    <w:rsid w:val="49466466"/>
    <w:rsid w:val="49563902"/>
    <w:rsid w:val="496045D6"/>
    <w:rsid w:val="496133D4"/>
    <w:rsid w:val="496265F0"/>
    <w:rsid w:val="4963783E"/>
    <w:rsid w:val="49690739"/>
    <w:rsid w:val="496E43B7"/>
    <w:rsid w:val="49776D5D"/>
    <w:rsid w:val="497778A9"/>
    <w:rsid w:val="49803D56"/>
    <w:rsid w:val="498D6527"/>
    <w:rsid w:val="49972EA6"/>
    <w:rsid w:val="49990BF2"/>
    <w:rsid w:val="499D3EEB"/>
    <w:rsid w:val="49A47F74"/>
    <w:rsid w:val="49AD6125"/>
    <w:rsid w:val="49AD6CEA"/>
    <w:rsid w:val="49B37F88"/>
    <w:rsid w:val="49B619DE"/>
    <w:rsid w:val="49BB012C"/>
    <w:rsid w:val="49D5080A"/>
    <w:rsid w:val="49D9493E"/>
    <w:rsid w:val="49E614F8"/>
    <w:rsid w:val="49F50CB4"/>
    <w:rsid w:val="49F9687C"/>
    <w:rsid w:val="49FC39E1"/>
    <w:rsid w:val="49FE76B2"/>
    <w:rsid w:val="4A026404"/>
    <w:rsid w:val="4A081980"/>
    <w:rsid w:val="4A0965C4"/>
    <w:rsid w:val="4A0E26B7"/>
    <w:rsid w:val="4A1355A9"/>
    <w:rsid w:val="4A1E18C1"/>
    <w:rsid w:val="4A232A12"/>
    <w:rsid w:val="4A294321"/>
    <w:rsid w:val="4A2D4650"/>
    <w:rsid w:val="4A3426B7"/>
    <w:rsid w:val="4A5962A5"/>
    <w:rsid w:val="4A5B3866"/>
    <w:rsid w:val="4A5E5582"/>
    <w:rsid w:val="4A671D44"/>
    <w:rsid w:val="4A680B8E"/>
    <w:rsid w:val="4A6E04D1"/>
    <w:rsid w:val="4A6F0E2B"/>
    <w:rsid w:val="4A7338A8"/>
    <w:rsid w:val="4A7A24FD"/>
    <w:rsid w:val="4A7A505B"/>
    <w:rsid w:val="4A88607C"/>
    <w:rsid w:val="4A8C64C6"/>
    <w:rsid w:val="4A8D59E8"/>
    <w:rsid w:val="4A8D6DF6"/>
    <w:rsid w:val="4A8E04EE"/>
    <w:rsid w:val="4A9B57C4"/>
    <w:rsid w:val="4AA44A02"/>
    <w:rsid w:val="4AA70038"/>
    <w:rsid w:val="4ABF242D"/>
    <w:rsid w:val="4AC1656E"/>
    <w:rsid w:val="4ACA069C"/>
    <w:rsid w:val="4AD2221C"/>
    <w:rsid w:val="4AE6418F"/>
    <w:rsid w:val="4AE91BAF"/>
    <w:rsid w:val="4AEE19A7"/>
    <w:rsid w:val="4AEE3C0D"/>
    <w:rsid w:val="4AFA0A83"/>
    <w:rsid w:val="4B062F5A"/>
    <w:rsid w:val="4B133B48"/>
    <w:rsid w:val="4B1508C9"/>
    <w:rsid w:val="4B256FCD"/>
    <w:rsid w:val="4B262E18"/>
    <w:rsid w:val="4B286005"/>
    <w:rsid w:val="4B2939C7"/>
    <w:rsid w:val="4B29456D"/>
    <w:rsid w:val="4B296173"/>
    <w:rsid w:val="4B2D7016"/>
    <w:rsid w:val="4B330DED"/>
    <w:rsid w:val="4B36102B"/>
    <w:rsid w:val="4B395511"/>
    <w:rsid w:val="4B3F7E08"/>
    <w:rsid w:val="4B4614CD"/>
    <w:rsid w:val="4B4C07B0"/>
    <w:rsid w:val="4B4C4303"/>
    <w:rsid w:val="4B51489B"/>
    <w:rsid w:val="4B5A43D2"/>
    <w:rsid w:val="4B5C1F7D"/>
    <w:rsid w:val="4B60485A"/>
    <w:rsid w:val="4B631B97"/>
    <w:rsid w:val="4B6C4EA8"/>
    <w:rsid w:val="4B724CF4"/>
    <w:rsid w:val="4B76089F"/>
    <w:rsid w:val="4B7710DA"/>
    <w:rsid w:val="4B7B5580"/>
    <w:rsid w:val="4B8036C6"/>
    <w:rsid w:val="4B837527"/>
    <w:rsid w:val="4B8B19BF"/>
    <w:rsid w:val="4B9B587F"/>
    <w:rsid w:val="4BAF2EB2"/>
    <w:rsid w:val="4BB245F4"/>
    <w:rsid w:val="4BBA00A1"/>
    <w:rsid w:val="4BC2050A"/>
    <w:rsid w:val="4BC348F2"/>
    <w:rsid w:val="4BCD4308"/>
    <w:rsid w:val="4BCF360A"/>
    <w:rsid w:val="4BD62452"/>
    <w:rsid w:val="4BE8381D"/>
    <w:rsid w:val="4BEB0FE1"/>
    <w:rsid w:val="4BF25E5D"/>
    <w:rsid w:val="4BF56A1A"/>
    <w:rsid w:val="4BFF5CC8"/>
    <w:rsid w:val="4C0A24C3"/>
    <w:rsid w:val="4C0C66C8"/>
    <w:rsid w:val="4C122866"/>
    <w:rsid w:val="4C272281"/>
    <w:rsid w:val="4C2B3870"/>
    <w:rsid w:val="4C2B57A0"/>
    <w:rsid w:val="4C2C3963"/>
    <w:rsid w:val="4C393B07"/>
    <w:rsid w:val="4C3A03ED"/>
    <w:rsid w:val="4C4C3F77"/>
    <w:rsid w:val="4C544E2A"/>
    <w:rsid w:val="4C564864"/>
    <w:rsid w:val="4C57039E"/>
    <w:rsid w:val="4C6D5EC6"/>
    <w:rsid w:val="4C6E6A40"/>
    <w:rsid w:val="4C6F3C67"/>
    <w:rsid w:val="4C726353"/>
    <w:rsid w:val="4C7A6A03"/>
    <w:rsid w:val="4C7D2B37"/>
    <w:rsid w:val="4C822A6F"/>
    <w:rsid w:val="4C8672F5"/>
    <w:rsid w:val="4C8D6093"/>
    <w:rsid w:val="4C96348A"/>
    <w:rsid w:val="4C982A70"/>
    <w:rsid w:val="4CA874C1"/>
    <w:rsid w:val="4CB52C63"/>
    <w:rsid w:val="4CB7394C"/>
    <w:rsid w:val="4CB91096"/>
    <w:rsid w:val="4CBA6BE7"/>
    <w:rsid w:val="4CBB7B02"/>
    <w:rsid w:val="4CBD0D88"/>
    <w:rsid w:val="4CC17C42"/>
    <w:rsid w:val="4CC40B4A"/>
    <w:rsid w:val="4CD00124"/>
    <w:rsid w:val="4CD150FB"/>
    <w:rsid w:val="4CD34B66"/>
    <w:rsid w:val="4CEC1471"/>
    <w:rsid w:val="4CEE0A00"/>
    <w:rsid w:val="4CF14402"/>
    <w:rsid w:val="4CF22EA0"/>
    <w:rsid w:val="4CF55317"/>
    <w:rsid w:val="4CF679F5"/>
    <w:rsid w:val="4D064691"/>
    <w:rsid w:val="4D0E0FF8"/>
    <w:rsid w:val="4D1519D1"/>
    <w:rsid w:val="4D1D1B3C"/>
    <w:rsid w:val="4D1F60D1"/>
    <w:rsid w:val="4D2E17AF"/>
    <w:rsid w:val="4D2F1047"/>
    <w:rsid w:val="4D357326"/>
    <w:rsid w:val="4D370A46"/>
    <w:rsid w:val="4D445CF4"/>
    <w:rsid w:val="4D471E96"/>
    <w:rsid w:val="4D482CAE"/>
    <w:rsid w:val="4D4F5601"/>
    <w:rsid w:val="4D56034A"/>
    <w:rsid w:val="4D5B0F95"/>
    <w:rsid w:val="4D69229D"/>
    <w:rsid w:val="4D6A5B56"/>
    <w:rsid w:val="4D773BA7"/>
    <w:rsid w:val="4D791726"/>
    <w:rsid w:val="4D7B2512"/>
    <w:rsid w:val="4D7E2932"/>
    <w:rsid w:val="4D8B14EF"/>
    <w:rsid w:val="4D8E6A30"/>
    <w:rsid w:val="4D9249CC"/>
    <w:rsid w:val="4D934BA2"/>
    <w:rsid w:val="4D9E3A90"/>
    <w:rsid w:val="4DAE0E8D"/>
    <w:rsid w:val="4DB6756D"/>
    <w:rsid w:val="4DBB7E42"/>
    <w:rsid w:val="4DBD1CD2"/>
    <w:rsid w:val="4DC03CA6"/>
    <w:rsid w:val="4DC91B10"/>
    <w:rsid w:val="4DCE2EA1"/>
    <w:rsid w:val="4DDC6507"/>
    <w:rsid w:val="4DE86F82"/>
    <w:rsid w:val="4DE978AD"/>
    <w:rsid w:val="4DEA4356"/>
    <w:rsid w:val="4DF45BD4"/>
    <w:rsid w:val="4E0562CC"/>
    <w:rsid w:val="4E123A61"/>
    <w:rsid w:val="4E1452BF"/>
    <w:rsid w:val="4E230666"/>
    <w:rsid w:val="4E283BF9"/>
    <w:rsid w:val="4E2A3BD3"/>
    <w:rsid w:val="4E2A7F03"/>
    <w:rsid w:val="4E2C184E"/>
    <w:rsid w:val="4E2E2A89"/>
    <w:rsid w:val="4E3E3FCF"/>
    <w:rsid w:val="4E4907B7"/>
    <w:rsid w:val="4E4A6310"/>
    <w:rsid w:val="4E4C6675"/>
    <w:rsid w:val="4E506340"/>
    <w:rsid w:val="4E5262BC"/>
    <w:rsid w:val="4E5F588C"/>
    <w:rsid w:val="4E730312"/>
    <w:rsid w:val="4E732E08"/>
    <w:rsid w:val="4E7740AF"/>
    <w:rsid w:val="4E7747C5"/>
    <w:rsid w:val="4E7E466B"/>
    <w:rsid w:val="4E816476"/>
    <w:rsid w:val="4E8320C8"/>
    <w:rsid w:val="4E9401EB"/>
    <w:rsid w:val="4E94395C"/>
    <w:rsid w:val="4EA03F66"/>
    <w:rsid w:val="4EA20F4D"/>
    <w:rsid w:val="4EB045E5"/>
    <w:rsid w:val="4EB72D28"/>
    <w:rsid w:val="4EC03DA0"/>
    <w:rsid w:val="4EC30601"/>
    <w:rsid w:val="4EC767BE"/>
    <w:rsid w:val="4ED43F96"/>
    <w:rsid w:val="4EDF1B18"/>
    <w:rsid w:val="4EF5753E"/>
    <w:rsid w:val="4EF81911"/>
    <w:rsid w:val="4EF853E8"/>
    <w:rsid w:val="4EFA436D"/>
    <w:rsid w:val="4EFC66AE"/>
    <w:rsid w:val="4F002A15"/>
    <w:rsid w:val="4F041691"/>
    <w:rsid w:val="4F08177C"/>
    <w:rsid w:val="4F1F6D5F"/>
    <w:rsid w:val="4F230BBF"/>
    <w:rsid w:val="4F263691"/>
    <w:rsid w:val="4F295A5C"/>
    <w:rsid w:val="4F2E0037"/>
    <w:rsid w:val="4F3B4803"/>
    <w:rsid w:val="4F3E6071"/>
    <w:rsid w:val="4F454D8F"/>
    <w:rsid w:val="4F5859B9"/>
    <w:rsid w:val="4F634ACF"/>
    <w:rsid w:val="4F7061CB"/>
    <w:rsid w:val="4F746CC3"/>
    <w:rsid w:val="4F767B55"/>
    <w:rsid w:val="4F7702EF"/>
    <w:rsid w:val="4F7C4B47"/>
    <w:rsid w:val="4F7D51A1"/>
    <w:rsid w:val="4F7F0A68"/>
    <w:rsid w:val="4F960510"/>
    <w:rsid w:val="4F9D0375"/>
    <w:rsid w:val="4FA24D2F"/>
    <w:rsid w:val="4FA51443"/>
    <w:rsid w:val="4FB17C75"/>
    <w:rsid w:val="4FBB1A6B"/>
    <w:rsid w:val="4FBF3866"/>
    <w:rsid w:val="4FC165C8"/>
    <w:rsid w:val="4FC215E9"/>
    <w:rsid w:val="4FCF1676"/>
    <w:rsid w:val="4FD560AC"/>
    <w:rsid w:val="4FDC4278"/>
    <w:rsid w:val="4FDE6975"/>
    <w:rsid w:val="4FE74AFC"/>
    <w:rsid w:val="4FE93613"/>
    <w:rsid w:val="4FEC7482"/>
    <w:rsid w:val="4FF075EE"/>
    <w:rsid w:val="4FFA0222"/>
    <w:rsid w:val="500013B1"/>
    <w:rsid w:val="50016F8C"/>
    <w:rsid w:val="501120F6"/>
    <w:rsid w:val="50162081"/>
    <w:rsid w:val="501B5227"/>
    <w:rsid w:val="50292267"/>
    <w:rsid w:val="50375888"/>
    <w:rsid w:val="504C032B"/>
    <w:rsid w:val="504D12F8"/>
    <w:rsid w:val="505651B6"/>
    <w:rsid w:val="505971CF"/>
    <w:rsid w:val="506722C4"/>
    <w:rsid w:val="506866A8"/>
    <w:rsid w:val="506A4126"/>
    <w:rsid w:val="506B150D"/>
    <w:rsid w:val="50714F0E"/>
    <w:rsid w:val="507843F1"/>
    <w:rsid w:val="508D35A6"/>
    <w:rsid w:val="508F5D37"/>
    <w:rsid w:val="508F6D9B"/>
    <w:rsid w:val="50923270"/>
    <w:rsid w:val="509A475C"/>
    <w:rsid w:val="509F1987"/>
    <w:rsid w:val="50A030D4"/>
    <w:rsid w:val="50A716BA"/>
    <w:rsid w:val="50AB24DA"/>
    <w:rsid w:val="50BC164F"/>
    <w:rsid w:val="50BD2602"/>
    <w:rsid w:val="50C073CC"/>
    <w:rsid w:val="50C74476"/>
    <w:rsid w:val="50CE252F"/>
    <w:rsid w:val="50D42E16"/>
    <w:rsid w:val="50DE6F6E"/>
    <w:rsid w:val="50E01B2E"/>
    <w:rsid w:val="50E56504"/>
    <w:rsid w:val="50E87D80"/>
    <w:rsid w:val="50F90C7D"/>
    <w:rsid w:val="50F96C4E"/>
    <w:rsid w:val="510251B3"/>
    <w:rsid w:val="51041BEE"/>
    <w:rsid w:val="5104588E"/>
    <w:rsid w:val="51055D72"/>
    <w:rsid w:val="510648C9"/>
    <w:rsid w:val="51166013"/>
    <w:rsid w:val="5118651D"/>
    <w:rsid w:val="51214E48"/>
    <w:rsid w:val="51226024"/>
    <w:rsid w:val="512D29AB"/>
    <w:rsid w:val="513028BC"/>
    <w:rsid w:val="51311A88"/>
    <w:rsid w:val="513D79B3"/>
    <w:rsid w:val="51417916"/>
    <w:rsid w:val="514E59E0"/>
    <w:rsid w:val="514E7B18"/>
    <w:rsid w:val="515563C4"/>
    <w:rsid w:val="51596D49"/>
    <w:rsid w:val="515B4E5B"/>
    <w:rsid w:val="515E749A"/>
    <w:rsid w:val="5164373A"/>
    <w:rsid w:val="516A2B71"/>
    <w:rsid w:val="51742B62"/>
    <w:rsid w:val="51892961"/>
    <w:rsid w:val="5189566B"/>
    <w:rsid w:val="5193015C"/>
    <w:rsid w:val="519536E7"/>
    <w:rsid w:val="51A42C2A"/>
    <w:rsid w:val="51B802E8"/>
    <w:rsid w:val="51BE4002"/>
    <w:rsid w:val="51C37787"/>
    <w:rsid w:val="51D904AC"/>
    <w:rsid w:val="51DE46A2"/>
    <w:rsid w:val="51E353B8"/>
    <w:rsid w:val="51E60F48"/>
    <w:rsid w:val="51E815D4"/>
    <w:rsid w:val="51EC6FAD"/>
    <w:rsid w:val="51F868E3"/>
    <w:rsid w:val="51F94D59"/>
    <w:rsid w:val="51FA3F16"/>
    <w:rsid w:val="51FD0020"/>
    <w:rsid w:val="520B25EE"/>
    <w:rsid w:val="520C497A"/>
    <w:rsid w:val="52154EE5"/>
    <w:rsid w:val="52157DA9"/>
    <w:rsid w:val="521912D3"/>
    <w:rsid w:val="521D49F1"/>
    <w:rsid w:val="521E1854"/>
    <w:rsid w:val="52207598"/>
    <w:rsid w:val="52216F69"/>
    <w:rsid w:val="522C3100"/>
    <w:rsid w:val="522C3822"/>
    <w:rsid w:val="52307A13"/>
    <w:rsid w:val="5232571E"/>
    <w:rsid w:val="52326B48"/>
    <w:rsid w:val="52342EE8"/>
    <w:rsid w:val="523503EF"/>
    <w:rsid w:val="5235669B"/>
    <w:rsid w:val="524077F9"/>
    <w:rsid w:val="524711F7"/>
    <w:rsid w:val="524B7046"/>
    <w:rsid w:val="524C412F"/>
    <w:rsid w:val="525906C1"/>
    <w:rsid w:val="525A148E"/>
    <w:rsid w:val="525F7702"/>
    <w:rsid w:val="526B2DEC"/>
    <w:rsid w:val="526D185C"/>
    <w:rsid w:val="5274184B"/>
    <w:rsid w:val="527F765E"/>
    <w:rsid w:val="528E6FEC"/>
    <w:rsid w:val="52900D29"/>
    <w:rsid w:val="52915301"/>
    <w:rsid w:val="52934619"/>
    <w:rsid w:val="52A81421"/>
    <w:rsid w:val="52A85F60"/>
    <w:rsid w:val="52AD3FC2"/>
    <w:rsid w:val="52AE312E"/>
    <w:rsid w:val="52AF6FCD"/>
    <w:rsid w:val="52B33948"/>
    <w:rsid w:val="52BE565A"/>
    <w:rsid w:val="52BE5C1E"/>
    <w:rsid w:val="52CE114C"/>
    <w:rsid w:val="52D65C92"/>
    <w:rsid w:val="52DB2A90"/>
    <w:rsid w:val="52E85A2F"/>
    <w:rsid w:val="530443AC"/>
    <w:rsid w:val="53165AA5"/>
    <w:rsid w:val="53192197"/>
    <w:rsid w:val="531C2627"/>
    <w:rsid w:val="5320206E"/>
    <w:rsid w:val="532600D2"/>
    <w:rsid w:val="53366629"/>
    <w:rsid w:val="53386832"/>
    <w:rsid w:val="534449BE"/>
    <w:rsid w:val="534B2D5B"/>
    <w:rsid w:val="53656E4E"/>
    <w:rsid w:val="53675A71"/>
    <w:rsid w:val="536C206E"/>
    <w:rsid w:val="536C4129"/>
    <w:rsid w:val="53732E8C"/>
    <w:rsid w:val="53823FF7"/>
    <w:rsid w:val="5384742C"/>
    <w:rsid w:val="538F0C31"/>
    <w:rsid w:val="539103F8"/>
    <w:rsid w:val="539C0B33"/>
    <w:rsid w:val="53AE46D9"/>
    <w:rsid w:val="53AF6DBF"/>
    <w:rsid w:val="53B9668C"/>
    <w:rsid w:val="53BE3E67"/>
    <w:rsid w:val="53C16AD5"/>
    <w:rsid w:val="53D34AD0"/>
    <w:rsid w:val="53DE02CC"/>
    <w:rsid w:val="53E8282F"/>
    <w:rsid w:val="53EA1894"/>
    <w:rsid w:val="53EC7FCA"/>
    <w:rsid w:val="53F403C8"/>
    <w:rsid w:val="53FE35DE"/>
    <w:rsid w:val="53FE62CD"/>
    <w:rsid w:val="540F05AA"/>
    <w:rsid w:val="54127955"/>
    <w:rsid w:val="5413290C"/>
    <w:rsid w:val="54185376"/>
    <w:rsid w:val="54197BF4"/>
    <w:rsid w:val="541E1141"/>
    <w:rsid w:val="54212293"/>
    <w:rsid w:val="5421495A"/>
    <w:rsid w:val="542C081A"/>
    <w:rsid w:val="54313356"/>
    <w:rsid w:val="54325CEA"/>
    <w:rsid w:val="54336573"/>
    <w:rsid w:val="543822F0"/>
    <w:rsid w:val="544D6F5F"/>
    <w:rsid w:val="545A2FB4"/>
    <w:rsid w:val="545B1487"/>
    <w:rsid w:val="545C20D2"/>
    <w:rsid w:val="5464563F"/>
    <w:rsid w:val="546649FE"/>
    <w:rsid w:val="54694CFA"/>
    <w:rsid w:val="54720347"/>
    <w:rsid w:val="54720E6C"/>
    <w:rsid w:val="547D00A4"/>
    <w:rsid w:val="548B38ED"/>
    <w:rsid w:val="548F6040"/>
    <w:rsid w:val="54921106"/>
    <w:rsid w:val="54984A9B"/>
    <w:rsid w:val="54A941AB"/>
    <w:rsid w:val="54B53299"/>
    <w:rsid w:val="54B93795"/>
    <w:rsid w:val="54C32A83"/>
    <w:rsid w:val="54C76778"/>
    <w:rsid w:val="54CC7B2F"/>
    <w:rsid w:val="54CF284E"/>
    <w:rsid w:val="54DA3035"/>
    <w:rsid w:val="54DF2057"/>
    <w:rsid w:val="54E5212E"/>
    <w:rsid w:val="54E56D7A"/>
    <w:rsid w:val="550B6A38"/>
    <w:rsid w:val="550D2DFF"/>
    <w:rsid w:val="5511026F"/>
    <w:rsid w:val="551F0003"/>
    <w:rsid w:val="55223305"/>
    <w:rsid w:val="55244CEC"/>
    <w:rsid w:val="55250AD7"/>
    <w:rsid w:val="55307109"/>
    <w:rsid w:val="553375AE"/>
    <w:rsid w:val="55360C47"/>
    <w:rsid w:val="554376C8"/>
    <w:rsid w:val="554C3E51"/>
    <w:rsid w:val="554F0D7B"/>
    <w:rsid w:val="555B01AA"/>
    <w:rsid w:val="555D6E2C"/>
    <w:rsid w:val="556F373C"/>
    <w:rsid w:val="55782C2E"/>
    <w:rsid w:val="55815BC7"/>
    <w:rsid w:val="55816A10"/>
    <w:rsid w:val="5586047A"/>
    <w:rsid w:val="55874055"/>
    <w:rsid w:val="55893B7C"/>
    <w:rsid w:val="55924B7D"/>
    <w:rsid w:val="55965B4A"/>
    <w:rsid w:val="559A5F0A"/>
    <w:rsid w:val="559B3B04"/>
    <w:rsid w:val="559B3F9B"/>
    <w:rsid w:val="55A13595"/>
    <w:rsid w:val="55AE53A0"/>
    <w:rsid w:val="55AE76A4"/>
    <w:rsid w:val="55B33FA2"/>
    <w:rsid w:val="55B62F64"/>
    <w:rsid w:val="55BD1AAD"/>
    <w:rsid w:val="55BD4F0C"/>
    <w:rsid w:val="55C67F2A"/>
    <w:rsid w:val="55C86BD2"/>
    <w:rsid w:val="55C979C1"/>
    <w:rsid w:val="55CC5DCA"/>
    <w:rsid w:val="55CF402E"/>
    <w:rsid w:val="55D270F5"/>
    <w:rsid w:val="55D3696F"/>
    <w:rsid w:val="55DB1B2C"/>
    <w:rsid w:val="55DC717D"/>
    <w:rsid w:val="55E77C3A"/>
    <w:rsid w:val="55EB3A9F"/>
    <w:rsid w:val="55F15253"/>
    <w:rsid w:val="55F464AC"/>
    <w:rsid w:val="55F77557"/>
    <w:rsid w:val="55F962DF"/>
    <w:rsid w:val="55FA0296"/>
    <w:rsid w:val="55FF1422"/>
    <w:rsid w:val="56001014"/>
    <w:rsid w:val="56022DBD"/>
    <w:rsid w:val="56130199"/>
    <w:rsid w:val="56184C8D"/>
    <w:rsid w:val="56235757"/>
    <w:rsid w:val="563B1C24"/>
    <w:rsid w:val="5642106C"/>
    <w:rsid w:val="56461B2E"/>
    <w:rsid w:val="564A58A7"/>
    <w:rsid w:val="5651526E"/>
    <w:rsid w:val="565B1174"/>
    <w:rsid w:val="56615D2B"/>
    <w:rsid w:val="566721A4"/>
    <w:rsid w:val="56691B67"/>
    <w:rsid w:val="566B4671"/>
    <w:rsid w:val="566B67C0"/>
    <w:rsid w:val="56705FB9"/>
    <w:rsid w:val="56707DA8"/>
    <w:rsid w:val="56742A4C"/>
    <w:rsid w:val="56763BE0"/>
    <w:rsid w:val="56781174"/>
    <w:rsid w:val="568C3DF1"/>
    <w:rsid w:val="569732DD"/>
    <w:rsid w:val="569F59EA"/>
    <w:rsid w:val="56AA3F96"/>
    <w:rsid w:val="56AE3510"/>
    <w:rsid w:val="56BD4E7E"/>
    <w:rsid w:val="56BE4D38"/>
    <w:rsid w:val="56C76ED2"/>
    <w:rsid w:val="56D658FE"/>
    <w:rsid w:val="56E05FC6"/>
    <w:rsid w:val="56E06304"/>
    <w:rsid w:val="56EB5E4B"/>
    <w:rsid w:val="56F32779"/>
    <w:rsid w:val="56F84229"/>
    <w:rsid w:val="57023C45"/>
    <w:rsid w:val="5708275F"/>
    <w:rsid w:val="57082783"/>
    <w:rsid w:val="5720074D"/>
    <w:rsid w:val="572300F2"/>
    <w:rsid w:val="572E6ABD"/>
    <w:rsid w:val="57466FB3"/>
    <w:rsid w:val="574928F0"/>
    <w:rsid w:val="574C1C54"/>
    <w:rsid w:val="574D196C"/>
    <w:rsid w:val="574D7D8C"/>
    <w:rsid w:val="57556BD9"/>
    <w:rsid w:val="575E79EF"/>
    <w:rsid w:val="57601F91"/>
    <w:rsid w:val="57630BFB"/>
    <w:rsid w:val="57822CF4"/>
    <w:rsid w:val="57A61F71"/>
    <w:rsid w:val="57AA42FC"/>
    <w:rsid w:val="57AF2614"/>
    <w:rsid w:val="57B01AEC"/>
    <w:rsid w:val="57B738E0"/>
    <w:rsid w:val="57B82530"/>
    <w:rsid w:val="57C72301"/>
    <w:rsid w:val="57C84488"/>
    <w:rsid w:val="57CF3F7C"/>
    <w:rsid w:val="57D11DF0"/>
    <w:rsid w:val="57D31B91"/>
    <w:rsid w:val="57D3513A"/>
    <w:rsid w:val="57D83FF4"/>
    <w:rsid w:val="57DE466A"/>
    <w:rsid w:val="57DE6CC3"/>
    <w:rsid w:val="57E4676F"/>
    <w:rsid w:val="57E566D2"/>
    <w:rsid w:val="57E849B8"/>
    <w:rsid w:val="57E97671"/>
    <w:rsid w:val="57EF5E60"/>
    <w:rsid w:val="57F11680"/>
    <w:rsid w:val="57F47EB2"/>
    <w:rsid w:val="57F833F6"/>
    <w:rsid w:val="58022CA3"/>
    <w:rsid w:val="58080A31"/>
    <w:rsid w:val="580E62FA"/>
    <w:rsid w:val="58137A7D"/>
    <w:rsid w:val="581C33A3"/>
    <w:rsid w:val="582868BF"/>
    <w:rsid w:val="58491BD1"/>
    <w:rsid w:val="585670F7"/>
    <w:rsid w:val="58596F52"/>
    <w:rsid w:val="586012DA"/>
    <w:rsid w:val="58623EAD"/>
    <w:rsid w:val="5866796E"/>
    <w:rsid w:val="58684ECA"/>
    <w:rsid w:val="5869399C"/>
    <w:rsid w:val="58693FC5"/>
    <w:rsid w:val="586A2A81"/>
    <w:rsid w:val="58774ABF"/>
    <w:rsid w:val="58847716"/>
    <w:rsid w:val="58883DA8"/>
    <w:rsid w:val="5896402D"/>
    <w:rsid w:val="589D39E1"/>
    <w:rsid w:val="589D3FF2"/>
    <w:rsid w:val="58A74831"/>
    <w:rsid w:val="58B03F7D"/>
    <w:rsid w:val="58BD2C7D"/>
    <w:rsid w:val="58C94687"/>
    <w:rsid w:val="58CA3DE9"/>
    <w:rsid w:val="58CB3BB5"/>
    <w:rsid w:val="58CD6BC7"/>
    <w:rsid w:val="58DA55E9"/>
    <w:rsid w:val="58E917E8"/>
    <w:rsid w:val="58F34276"/>
    <w:rsid w:val="59023192"/>
    <w:rsid w:val="59064476"/>
    <w:rsid w:val="5908193D"/>
    <w:rsid w:val="590A1CB6"/>
    <w:rsid w:val="590F32DA"/>
    <w:rsid w:val="59195E75"/>
    <w:rsid w:val="591C21E2"/>
    <w:rsid w:val="591D0955"/>
    <w:rsid w:val="5926711A"/>
    <w:rsid w:val="592A7DCC"/>
    <w:rsid w:val="593E782B"/>
    <w:rsid w:val="594F42E4"/>
    <w:rsid w:val="59525B38"/>
    <w:rsid w:val="59586BC0"/>
    <w:rsid w:val="595D4319"/>
    <w:rsid w:val="59604FD0"/>
    <w:rsid w:val="596326A9"/>
    <w:rsid w:val="596400E7"/>
    <w:rsid w:val="59702C95"/>
    <w:rsid w:val="59715C90"/>
    <w:rsid w:val="59764E0C"/>
    <w:rsid w:val="59812E2C"/>
    <w:rsid w:val="598469AB"/>
    <w:rsid w:val="59865159"/>
    <w:rsid w:val="598E4789"/>
    <w:rsid w:val="59933A53"/>
    <w:rsid w:val="59990E1F"/>
    <w:rsid w:val="599C7239"/>
    <w:rsid w:val="59AA2232"/>
    <w:rsid w:val="59AD65BC"/>
    <w:rsid w:val="59B05141"/>
    <w:rsid w:val="59B35002"/>
    <w:rsid w:val="59C448A2"/>
    <w:rsid w:val="59C55A72"/>
    <w:rsid w:val="59DE38D8"/>
    <w:rsid w:val="59EB1FDA"/>
    <w:rsid w:val="59EC2E49"/>
    <w:rsid w:val="59EF1F13"/>
    <w:rsid w:val="59EF41B6"/>
    <w:rsid w:val="59F01F19"/>
    <w:rsid w:val="59F30988"/>
    <w:rsid w:val="59F41E2E"/>
    <w:rsid w:val="59F62E2A"/>
    <w:rsid w:val="59F83D8C"/>
    <w:rsid w:val="5A105313"/>
    <w:rsid w:val="5A1560F8"/>
    <w:rsid w:val="5A162334"/>
    <w:rsid w:val="5A194568"/>
    <w:rsid w:val="5A235E68"/>
    <w:rsid w:val="5A262260"/>
    <w:rsid w:val="5A2751C8"/>
    <w:rsid w:val="5A3165A8"/>
    <w:rsid w:val="5A4F57C5"/>
    <w:rsid w:val="5A5A4234"/>
    <w:rsid w:val="5A5D6D92"/>
    <w:rsid w:val="5A600AA2"/>
    <w:rsid w:val="5A621583"/>
    <w:rsid w:val="5A667194"/>
    <w:rsid w:val="5A6946D0"/>
    <w:rsid w:val="5A6C6590"/>
    <w:rsid w:val="5A7D66E4"/>
    <w:rsid w:val="5A8234C9"/>
    <w:rsid w:val="5A846440"/>
    <w:rsid w:val="5A891A05"/>
    <w:rsid w:val="5A8B1A0D"/>
    <w:rsid w:val="5A96135A"/>
    <w:rsid w:val="5AA20E87"/>
    <w:rsid w:val="5AA47B2D"/>
    <w:rsid w:val="5AAD3281"/>
    <w:rsid w:val="5AB34F2A"/>
    <w:rsid w:val="5AB60596"/>
    <w:rsid w:val="5AB82F33"/>
    <w:rsid w:val="5AC14B15"/>
    <w:rsid w:val="5AC17F4F"/>
    <w:rsid w:val="5AC247F5"/>
    <w:rsid w:val="5AC8279D"/>
    <w:rsid w:val="5AC86500"/>
    <w:rsid w:val="5ACD6080"/>
    <w:rsid w:val="5ACF015B"/>
    <w:rsid w:val="5AE10A9B"/>
    <w:rsid w:val="5AE235B8"/>
    <w:rsid w:val="5AF1187F"/>
    <w:rsid w:val="5AF959E7"/>
    <w:rsid w:val="5B0E3F84"/>
    <w:rsid w:val="5B1423A7"/>
    <w:rsid w:val="5B1C6AA1"/>
    <w:rsid w:val="5B242A4F"/>
    <w:rsid w:val="5B2A3B21"/>
    <w:rsid w:val="5B3B1E77"/>
    <w:rsid w:val="5B3F273E"/>
    <w:rsid w:val="5B3F4557"/>
    <w:rsid w:val="5B3F708D"/>
    <w:rsid w:val="5B4240E7"/>
    <w:rsid w:val="5B451547"/>
    <w:rsid w:val="5B4E5B1A"/>
    <w:rsid w:val="5B610563"/>
    <w:rsid w:val="5B6661DE"/>
    <w:rsid w:val="5B6F10D4"/>
    <w:rsid w:val="5B732822"/>
    <w:rsid w:val="5B827C03"/>
    <w:rsid w:val="5B863C58"/>
    <w:rsid w:val="5B952A88"/>
    <w:rsid w:val="5B9A1D08"/>
    <w:rsid w:val="5B9F4983"/>
    <w:rsid w:val="5BA67617"/>
    <w:rsid w:val="5BA85095"/>
    <w:rsid w:val="5BAD7275"/>
    <w:rsid w:val="5BAF1C35"/>
    <w:rsid w:val="5BC10EF2"/>
    <w:rsid w:val="5BC80519"/>
    <w:rsid w:val="5BC924C6"/>
    <w:rsid w:val="5BD6637A"/>
    <w:rsid w:val="5BD71FFE"/>
    <w:rsid w:val="5BD738BE"/>
    <w:rsid w:val="5BDD201A"/>
    <w:rsid w:val="5BE576F1"/>
    <w:rsid w:val="5BE9047B"/>
    <w:rsid w:val="5BEA5F9E"/>
    <w:rsid w:val="5BF022BB"/>
    <w:rsid w:val="5C051F64"/>
    <w:rsid w:val="5C07638B"/>
    <w:rsid w:val="5C216A59"/>
    <w:rsid w:val="5C2772AE"/>
    <w:rsid w:val="5C2E2984"/>
    <w:rsid w:val="5C3411DE"/>
    <w:rsid w:val="5C3C0A19"/>
    <w:rsid w:val="5C3D60C4"/>
    <w:rsid w:val="5C3F4E24"/>
    <w:rsid w:val="5C495678"/>
    <w:rsid w:val="5C4C184C"/>
    <w:rsid w:val="5C4E3C31"/>
    <w:rsid w:val="5C4F269A"/>
    <w:rsid w:val="5C512E99"/>
    <w:rsid w:val="5C514AF2"/>
    <w:rsid w:val="5C5750BA"/>
    <w:rsid w:val="5C5C0B27"/>
    <w:rsid w:val="5C6074B2"/>
    <w:rsid w:val="5C6B0E38"/>
    <w:rsid w:val="5C703B0A"/>
    <w:rsid w:val="5C7A3570"/>
    <w:rsid w:val="5C7D4D78"/>
    <w:rsid w:val="5C812DA3"/>
    <w:rsid w:val="5C92187F"/>
    <w:rsid w:val="5C9E6620"/>
    <w:rsid w:val="5CA10A42"/>
    <w:rsid w:val="5CA567FD"/>
    <w:rsid w:val="5CAC2166"/>
    <w:rsid w:val="5CAE72C5"/>
    <w:rsid w:val="5CBA5575"/>
    <w:rsid w:val="5CBD4D7E"/>
    <w:rsid w:val="5CC236B7"/>
    <w:rsid w:val="5CC8384B"/>
    <w:rsid w:val="5CCE4C30"/>
    <w:rsid w:val="5CDC644B"/>
    <w:rsid w:val="5CDE0BED"/>
    <w:rsid w:val="5CE4130F"/>
    <w:rsid w:val="5CE91355"/>
    <w:rsid w:val="5CEE4B93"/>
    <w:rsid w:val="5CF22A1A"/>
    <w:rsid w:val="5CFD08FD"/>
    <w:rsid w:val="5D0674C6"/>
    <w:rsid w:val="5D18512E"/>
    <w:rsid w:val="5D1E2463"/>
    <w:rsid w:val="5D2E31DB"/>
    <w:rsid w:val="5D407603"/>
    <w:rsid w:val="5D467166"/>
    <w:rsid w:val="5D490528"/>
    <w:rsid w:val="5D4B7416"/>
    <w:rsid w:val="5D4F4D80"/>
    <w:rsid w:val="5D5231F0"/>
    <w:rsid w:val="5D5C3A54"/>
    <w:rsid w:val="5D5D7F4E"/>
    <w:rsid w:val="5D622F2A"/>
    <w:rsid w:val="5D6B533D"/>
    <w:rsid w:val="5D6C4504"/>
    <w:rsid w:val="5D6E2602"/>
    <w:rsid w:val="5D867492"/>
    <w:rsid w:val="5D8674B6"/>
    <w:rsid w:val="5D875B32"/>
    <w:rsid w:val="5D8C6C53"/>
    <w:rsid w:val="5D9669C7"/>
    <w:rsid w:val="5D9A6AD7"/>
    <w:rsid w:val="5D9D3EE5"/>
    <w:rsid w:val="5D9E5E7D"/>
    <w:rsid w:val="5DA1236A"/>
    <w:rsid w:val="5DA81811"/>
    <w:rsid w:val="5DAF334A"/>
    <w:rsid w:val="5DB50922"/>
    <w:rsid w:val="5DC21169"/>
    <w:rsid w:val="5DCF63E8"/>
    <w:rsid w:val="5DD33DCA"/>
    <w:rsid w:val="5DDA40A4"/>
    <w:rsid w:val="5DE14946"/>
    <w:rsid w:val="5DEC6850"/>
    <w:rsid w:val="5DED166F"/>
    <w:rsid w:val="5DF02AA9"/>
    <w:rsid w:val="5E001A33"/>
    <w:rsid w:val="5E087EA2"/>
    <w:rsid w:val="5E0D4C13"/>
    <w:rsid w:val="5E1C0C73"/>
    <w:rsid w:val="5E1F1CE2"/>
    <w:rsid w:val="5E26356B"/>
    <w:rsid w:val="5E2955BD"/>
    <w:rsid w:val="5E35168E"/>
    <w:rsid w:val="5E3A5542"/>
    <w:rsid w:val="5E3F147D"/>
    <w:rsid w:val="5E45147E"/>
    <w:rsid w:val="5E515B1F"/>
    <w:rsid w:val="5E5477A1"/>
    <w:rsid w:val="5E5A27FB"/>
    <w:rsid w:val="5E69510F"/>
    <w:rsid w:val="5E6B3392"/>
    <w:rsid w:val="5E762D00"/>
    <w:rsid w:val="5E776E89"/>
    <w:rsid w:val="5E817DAD"/>
    <w:rsid w:val="5E9123BB"/>
    <w:rsid w:val="5E923EF0"/>
    <w:rsid w:val="5E9A782C"/>
    <w:rsid w:val="5EA20FCD"/>
    <w:rsid w:val="5EA5785A"/>
    <w:rsid w:val="5EA86F2D"/>
    <w:rsid w:val="5EB04483"/>
    <w:rsid w:val="5EB77E5E"/>
    <w:rsid w:val="5EB8504F"/>
    <w:rsid w:val="5EBB007D"/>
    <w:rsid w:val="5EBC7D85"/>
    <w:rsid w:val="5EC54D10"/>
    <w:rsid w:val="5EC84E82"/>
    <w:rsid w:val="5ECA09E9"/>
    <w:rsid w:val="5ECD419F"/>
    <w:rsid w:val="5ECD51C5"/>
    <w:rsid w:val="5ED04330"/>
    <w:rsid w:val="5ED358B4"/>
    <w:rsid w:val="5EDE0EB3"/>
    <w:rsid w:val="5EEB469B"/>
    <w:rsid w:val="5EEC2B5E"/>
    <w:rsid w:val="5EF46B9B"/>
    <w:rsid w:val="5EF6627A"/>
    <w:rsid w:val="5EF84A75"/>
    <w:rsid w:val="5EFE389C"/>
    <w:rsid w:val="5F006EEB"/>
    <w:rsid w:val="5F037BD6"/>
    <w:rsid w:val="5F0A3C3C"/>
    <w:rsid w:val="5F1076CA"/>
    <w:rsid w:val="5F1E39DC"/>
    <w:rsid w:val="5F1F77F4"/>
    <w:rsid w:val="5F282A3A"/>
    <w:rsid w:val="5F2E2990"/>
    <w:rsid w:val="5F3336A5"/>
    <w:rsid w:val="5F3460CD"/>
    <w:rsid w:val="5F3642A4"/>
    <w:rsid w:val="5F434FF0"/>
    <w:rsid w:val="5F453853"/>
    <w:rsid w:val="5F47336D"/>
    <w:rsid w:val="5F481C31"/>
    <w:rsid w:val="5F611075"/>
    <w:rsid w:val="5F652DBF"/>
    <w:rsid w:val="5F654B44"/>
    <w:rsid w:val="5F6D6E6D"/>
    <w:rsid w:val="5F7C4222"/>
    <w:rsid w:val="5F7D4812"/>
    <w:rsid w:val="5F83143F"/>
    <w:rsid w:val="5F872E6C"/>
    <w:rsid w:val="5F877FDF"/>
    <w:rsid w:val="5F881135"/>
    <w:rsid w:val="5F8E7C87"/>
    <w:rsid w:val="5F966D92"/>
    <w:rsid w:val="5F9D02B3"/>
    <w:rsid w:val="5FA20BA9"/>
    <w:rsid w:val="5FA93147"/>
    <w:rsid w:val="5FAC3064"/>
    <w:rsid w:val="5FBB2206"/>
    <w:rsid w:val="5FC22725"/>
    <w:rsid w:val="5FC26EAD"/>
    <w:rsid w:val="5FC47AE6"/>
    <w:rsid w:val="5FC87B1A"/>
    <w:rsid w:val="5FDA2D41"/>
    <w:rsid w:val="5FDB0100"/>
    <w:rsid w:val="5FDF58CC"/>
    <w:rsid w:val="5FEA19B9"/>
    <w:rsid w:val="5FFC3184"/>
    <w:rsid w:val="5FFE0B77"/>
    <w:rsid w:val="5FFE3F2F"/>
    <w:rsid w:val="600B038D"/>
    <w:rsid w:val="600D6EB3"/>
    <w:rsid w:val="600E6828"/>
    <w:rsid w:val="601C48B8"/>
    <w:rsid w:val="601F374F"/>
    <w:rsid w:val="60204443"/>
    <w:rsid w:val="602A71DA"/>
    <w:rsid w:val="602B7DCD"/>
    <w:rsid w:val="6032751C"/>
    <w:rsid w:val="6035378C"/>
    <w:rsid w:val="603B208E"/>
    <w:rsid w:val="60480858"/>
    <w:rsid w:val="604C1F7F"/>
    <w:rsid w:val="605327B5"/>
    <w:rsid w:val="60566D60"/>
    <w:rsid w:val="60575D03"/>
    <w:rsid w:val="60613638"/>
    <w:rsid w:val="60665DF2"/>
    <w:rsid w:val="606831C9"/>
    <w:rsid w:val="606F6B1C"/>
    <w:rsid w:val="60777FCC"/>
    <w:rsid w:val="607D393B"/>
    <w:rsid w:val="60860316"/>
    <w:rsid w:val="60954508"/>
    <w:rsid w:val="609F4FC5"/>
    <w:rsid w:val="60AC48B2"/>
    <w:rsid w:val="60AD1F91"/>
    <w:rsid w:val="60AE764A"/>
    <w:rsid w:val="60AF1CD3"/>
    <w:rsid w:val="60C403F8"/>
    <w:rsid w:val="60F12C89"/>
    <w:rsid w:val="60F502A6"/>
    <w:rsid w:val="61015D88"/>
    <w:rsid w:val="610D6ED9"/>
    <w:rsid w:val="6110576C"/>
    <w:rsid w:val="611275D3"/>
    <w:rsid w:val="6117553F"/>
    <w:rsid w:val="611C3EC6"/>
    <w:rsid w:val="6128664E"/>
    <w:rsid w:val="612C65D0"/>
    <w:rsid w:val="612D2B1A"/>
    <w:rsid w:val="6148398F"/>
    <w:rsid w:val="6148524C"/>
    <w:rsid w:val="614E6250"/>
    <w:rsid w:val="6156296E"/>
    <w:rsid w:val="6166389A"/>
    <w:rsid w:val="616C4200"/>
    <w:rsid w:val="616F65D9"/>
    <w:rsid w:val="61757BD3"/>
    <w:rsid w:val="618342FE"/>
    <w:rsid w:val="61857948"/>
    <w:rsid w:val="61877702"/>
    <w:rsid w:val="6194428A"/>
    <w:rsid w:val="61972A6B"/>
    <w:rsid w:val="61973675"/>
    <w:rsid w:val="619823F2"/>
    <w:rsid w:val="619B0EE3"/>
    <w:rsid w:val="61A00105"/>
    <w:rsid w:val="61A02252"/>
    <w:rsid w:val="61AF5926"/>
    <w:rsid w:val="61B07673"/>
    <w:rsid w:val="61BB695B"/>
    <w:rsid w:val="61C568F6"/>
    <w:rsid w:val="61CB4CEA"/>
    <w:rsid w:val="61D10197"/>
    <w:rsid w:val="61D92D3F"/>
    <w:rsid w:val="61DE4911"/>
    <w:rsid w:val="61E61B6D"/>
    <w:rsid w:val="61E61D67"/>
    <w:rsid w:val="61EB4102"/>
    <w:rsid w:val="61EC6C46"/>
    <w:rsid w:val="61F6044E"/>
    <w:rsid w:val="61FF25FE"/>
    <w:rsid w:val="62020B46"/>
    <w:rsid w:val="620453CE"/>
    <w:rsid w:val="6221089D"/>
    <w:rsid w:val="622372B6"/>
    <w:rsid w:val="62297593"/>
    <w:rsid w:val="6246138A"/>
    <w:rsid w:val="624F5841"/>
    <w:rsid w:val="625719FF"/>
    <w:rsid w:val="62671348"/>
    <w:rsid w:val="62671844"/>
    <w:rsid w:val="626C0DC9"/>
    <w:rsid w:val="62842766"/>
    <w:rsid w:val="62882364"/>
    <w:rsid w:val="628F5D15"/>
    <w:rsid w:val="62936A7C"/>
    <w:rsid w:val="629862CD"/>
    <w:rsid w:val="629C0128"/>
    <w:rsid w:val="629C3E3C"/>
    <w:rsid w:val="62A86E8C"/>
    <w:rsid w:val="62B7464E"/>
    <w:rsid w:val="62B9352D"/>
    <w:rsid w:val="62BC1E69"/>
    <w:rsid w:val="62C77767"/>
    <w:rsid w:val="62C90736"/>
    <w:rsid w:val="62CE1EB6"/>
    <w:rsid w:val="62D50450"/>
    <w:rsid w:val="62DE332C"/>
    <w:rsid w:val="62E0683C"/>
    <w:rsid w:val="62E212B8"/>
    <w:rsid w:val="62E4019E"/>
    <w:rsid w:val="62EC386E"/>
    <w:rsid w:val="62ED1CE4"/>
    <w:rsid w:val="62EE3AF8"/>
    <w:rsid w:val="62EE6C6B"/>
    <w:rsid w:val="63031D34"/>
    <w:rsid w:val="6310719F"/>
    <w:rsid w:val="631C64CD"/>
    <w:rsid w:val="631C710C"/>
    <w:rsid w:val="63257DB5"/>
    <w:rsid w:val="63275CAB"/>
    <w:rsid w:val="632D752E"/>
    <w:rsid w:val="6343285D"/>
    <w:rsid w:val="634F0032"/>
    <w:rsid w:val="6354762B"/>
    <w:rsid w:val="6356637E"/>
    <w:rsid w:val="63682443"/>
    <w:rsid w:val="636F5CFE"/>
    <w:rsid w:val="63767C0F"/>
    <w:rsid w:val="638657A9"/>
    <w:rsid w:val="638728E0"/>
    <w:rsid w:val="639B7FAB"/>
    <w:rsid w:val="639C369B"/>
    <w:rsid w:val="63A412F4"/>
    <w:rsid w:val="63AC4A20"/>
    <w:rsid w:val="63BC168C"/>
    <w:rsid w:val="63C00D34"/>
    <w:rsid w:val="63C64CC4"/>
    <w:rsid w:val="63CF1DF8"/>
    <w:rsid w:val="63D36AC2"/>
    <w:rsid w:val="63D8711B"/>
    <w:rsid w:val="63DB71AF"/>
    <w:rsid w:val="63DD5FAB"/>
    <w:rsid w:val="63DD6194"/>
    <w:rsid w:val="63E0008D"/>
    <w:rsid w:val="63E469AB"/>
    <w:rsid w:val="63E73024"/>
    <w:rsid w:val="63FA32A6"/>
    <w:rsid w:val="64080758"/>
    <w:rsid w:val="640C4582"/>
    <w:rsid w:val="640F65E2"/>
    <w:rsid w:val="64116C07"/>
    <w:rsid w:val="641526D4"/>
    <w:rsid w:val="641907AB"/>
    <w:rsid w:val="6419335D"/>
    <w:rsid w:val="641A1684"/>
    <w:rsid w:val="641B10AE"/>
    <w:rsid w:val="64215D83"/>
    <w:rsid w:val="6422650A"/>
    <w:rsid w:val="6423720E"/>
    <w:rsid w:val="6429224F"/>
    <w:rsid w:val="64305D43"/>
    <w:rsid w:val="6444397E"/>
    <w:rsid w:val="6448384F"/>
    <w:rsid w:val="64492359"/>
    <w:rsid w:val="644C7AD9"/>
    <w:rsid w:val="645851A4"/>
    <w:rsid w:val="64616852"/>
    <w:rsid w:val="64617446"/>
    <w:rsid w:val="64691E67"/>
    <w:rsid w:val="647036A7"/>
    <w:rsid w:val="6481152D"/>
    <w:rsid w:val="64835F2F"/>
    <w:rsid w:val="648376F4"/>
    <w:rsid w:val="648D7128"/>
    <w:rsid w:val="648E0B6C"/>
    <w:rsid w:val="648E0F1D"/>
    <w:rsid w:val="64942F5A"/>
    <w:rsid w:val="649D6B4D"/>
    <w:rsid w:val="64A44CD0"/>
    <w:rsid w:val="64A82D1D"/>
    <w:rsid w:val="64AF03C6"/>
    <w:rsid w:val="64BC4051"/>
    <w:rsid w:val="64C0648C"/>
    <w:rsid w:val="64C20542"/>
    <w:rsid w:val="64C33983"/>
    <w:rsid w:val="64C913EF"/>
    <w:rsid w:val="64C9279E"/>
    <w:rsid w:val="64D80423"/>
    <w:rsid w:val="64F41897"/>
    <w:rsid w:val="64FE0A40"/>
    <w:rsid w:val="65103F60"/>
    <w:rsid w:val="651725E2"/>
    <w:rsid w:val="651D1351"/>
    <w:rsid w:val="651F4322"/>
    <w:rsid w:val="6520628A"/>
    <w:rsid w:val="65215E2A"/>
    <w:rsid w:val="653836D8"/>
    <w:rsid w:val="654504B0"/>
    <w:rsid w:val="65495789"/>
    <w:rsid w:val="65522568"/>
    <w:rsid w:val="655B1600"/>
    <w:rsid w:val="655C040A"/>
    <w:rsid w:val="656270FC"/>
    <w:rsid w:val="656418EA"/>
    <w:rsid w:val="65713082"/>
    <w:rsid w:val="657555F0"/>
    <w:rsid w:val="658557B5"/>
    <w:rsid w:val="65865C35"/>
    <w:rsid w:val="6588556D"/>
    <w:rsid w:val="658F6A6C"/>
    <w:rsid w:val="65904B6C"/>
    <w:rsid w:val="659D06B1"/>
    <w:rsid w:val="65A519A5"/>
    <w:rsid w:val="65AF0AFE"/>
    <w:rsid w:val="65B3544F"/>
    <w:rsid w:val="65B71986"/>
    <w:rsid w:val="65B76467"/>
    <w:rsid w:val="65BA3CBF"/>
    <w:rsid w:val="65BF043A"/>
    <w:rsid w:val="65CA4240"/>
    <w:rsid w:val="65D11DD0"/>
    <w:rsid w:val="65D973F3"/>
    <w:rsid w:val="65DC78DE"/>
    <w:rsid w:val="65DF27A8"/>
    <w:rsid w:val="65E848A6"/>
    <w:rsid w:val="65E93185"/>
    <w:rsid w:val="65F2267A"/>
    <w:rsid w:val="65FC00DB"/>
    <w:rsid w:val="65FD0A4D"/>
    <w:rsid w:val="65FE5142"/>
    <w:rsid w:val="65FE6126"/>
    <w:rsid w:val="66196874"/>
    <w:rsid w:val="661E369F"/>
    <w:rsid w:val="663B7B68"/>
    <w:rsid w:val="663E239F"/>
    <w:rsid w:val="663E2429"/>
    <w:rsid w:val="664114DB"/>
    <w:rsid w:val="664E4256"/>
    <w:rsid w:val="66536301"/>
    <w:rsid w:val="665D3DF1"/>
    <w:rsid w:val="665F5CC2"/>
    <w:rsid w:val="666F44EC"/>
    <w:rsid w:val="66764E2F"/>
    <w:rsid w:val="667E00F5"/>
    <w:rsid w:val="667E1D04"/>
    <w:rsid w:val="668308A1"/>
    <w:rsid w:val="668652F7"/>
    <w:rsid w:val="66881EBA"/>
    <w:rsid w:val="66900CCE"/>
    <w:rsid w:val="66A472E9"/>
    <w:rsid w:val="66B37847"/>
    <w:rsid w:val="66BB1E72"/>
    <w:rsid w:val="66D45137"/>
    <w:rsid w:val="66E5241F"/>
    <w:rsid w:val="66ED5155"/>
    <w:rsid w:val="66F10D62"/>
    <w:rsid w:val="66F3125E"/>
    <w:rsid w:val="66FC43B4"/>
    <w:rsid w:val="66FF5CB9"/>
    <w:rsid w:val="67040162"/>
    <w:rsid w:val="670441B4"/>
    <w:rsid w:val="670B046E"/>
    <w:rsid w:val="670D2137"/>
    <w:rsid w:val="671414B5"/>
    <w:rsid w:val="6717020B"/>
    <w:rsid w:val="67175A6F"/>
    <w:rsid w:val="67187FD2"/>
    <w:rsid w:val="672521FC"/>
    <w:rsid w:val="67254BB3"/>
    <w:rsid w:val="672B7E5A"/>
    <w:rsid w:val="672C00D4"/>
    <w:rsid w:val="673A2525"/>
    <w:rsid w:val="673B14AC"/>
    <w:rsid w:val="674F6C24"/>
    <w:rsid w:val="67546785"/>
    <w:rsid w:val="67560E79"/>
    <w:rsid w:val="67561AC8"/>
    <w:rsid w:val="675B57F5"/>
    <w:rsid w:val="675C2472"/>
    <w:rsid w:val="676207E2"/>
    <w:rsid w:val="67626627"/>
    <w:rsid w:val="676E7D8A"/>
    <w:rsid w:val="677177E1"/>
    <w:rsid w:val="677A731E"/>
    <w:rsid w:val="677A7799"/>
    <w:rsid w:val="678A7A73"/>
    <w:rsid w:val="678F0B35"/>
    <w:rsid w:val="6796402D"/>
    <w:rsid w:val="67990F83"/>
    <w:rsid w:val="67993ACA"/>
    <w:rsid w:val="67B11238"/>
    <w:rsid w:val="67B12520"/>
    <w:rsid w:val="67B50241"/>
    <w:rsid w:val="67BB5B61"/>
    <w:rsid w:val="67BC5CDC"/>
    <w:rsid w:val="67C221BB"/>
    <w:rsid w:val="67C225FA"/>
    <w:rsid w:val="67C27BF3"/>
    <w:rsid w:val="67D03AA5"/>
    <w:rsid w:val="67D2542E"/>
    <w:rsid w:val="67DA7677"/>
    <w:rsid w:val="67E429B8"/>
    <w:rsid w:val="67E549BC"/>
    <w:rsid w:val="67E7623F"/>
    <w:rsid w:val="67F70B1C"/>
    <w:rsid w:val="68043F5B"/>
    <w:rsid w:val="680C6E97"/>
    <w:rsid w:val="681361D7"/>
    <w:rsid w:val="681E4413"/>
    <w:rsid w:val="681E7F15"/>
    <w:rsid w:val="68243BDF"/>
    <w:rsid w:val="68280602"/>
    <w:rsid w:val="682F09FB"/>
    <w:rsid w:val="68305A3B"/>
    <w:rsid w:val="68363F74"/>
    <w:rsid w:val="683803AC"/>
    <w:rsid w:val="68383846"/>
    <w:rsid w:val="6845360D"/>
    <w:rsid w:val="68494132"/>
    <w:rsid w:val="684B46A6"/>
    <w:rsid w:val="684C2C80"/>
    <w:rsid w:val="68502BA0"/>
    <w:rsid w:val="68591742"/>
    <w:rsid w:val="685C6AB9"/>
    <w:rsid w:val="685E1EF3"/>
    <w:rsid w:val="686104A7"/>
    <w:rsid w:val="686143C4"/>
    <w:rsid w:val="686526D6"/>
    <w:rsid w:val="68686E5D"/>
    <w:rsid w:val="686C19C8"/>
    <w:rsid w:val="686F003B"/>
    <w:rsid w:val="688D09C2"/>
    <w:rsid w:val="688F358C"/>
    <w:rsid w:val="68963E87"/>
    <w:rsid w:val="68966440"/>
    <w:rsid w:val="689D1630"/>
    <w:rsid w:val="689F5F01"/>
    <w:rsid w:val="68A220B9"/>
    <w:rsid w:val="68A30D82"/>
    <w:rsid w:val="68A85790"/>
    <w:rsid w:val="68AA17D5"/>
    <w:rsid w:val="68B14D86"/>
    <w:rsid w:val="68BF03BF"/>
    <w:rsid w:val="68BF3D49"/>
    <w:rsid w:val="68CF2F8F"/>
    <w:rsid w:val="68DC2FFF"/>
    <w:rsid w:val="68E11230"/>
    <w:rsid w:val="68E520C2"/>
    <w:rsid w:val="68E76BFE"/>
    <w:rsid w:val="68EA084D"/>
    <w:rsid w:val="69041B56"/>
    <w:rsid w:val="691D4E0B"/>
    <w:rsid w:val="6925470C"/>
    <w:rsid w:val="69280F02"/>
    <w:rsid w:val="692971E0"/>
    <w:rsid w:val="6931375B"/>
    <w:rsid w:val="69324050"/>
    <w:rsid w:val="693A1A7F"/>
    <w:rsid w:val="693B0DD9"/>
    <w:rsid w:val="693F7516"/>
    <w:rsid w:val="69440334"/>
    <w:rsid w:val="695165C0"/>
    <w:rsid w:val="6952130B"/>
    <w:rsid w:val="69536B7A"/>
    <w:rsid w:val="695A62A9"/>
    <w:rsid w:val="696F5049"/>
    <w:rsid w:val="69725D1B"/>
    <w:rsid w:val="69807B92"/>
    <w:rsid w:val="69893FCA"/>
    <w:rsid w:val="698D0A90"/>
    <w:rsid w:val="698D3803"/>
    <w:rsid w:val="698D3F9E"/>
    <w:rsid w:val="69902DE0"/>
    <w:rsid w:val="699F6A27"/>
    <w:rsid w:val="69A43FEE"/>
    <w:rsid w:val="69B339A6"/>
    <w:rsid w:val="69BB6074"/>
    <w:rsid w:val="69BF7718"/>
    <w:rsid w:val="69C15890"/>
    <w:rsid w:val="69C47414"/>
    <w:rsid w:val="69C570A4"/>
    <w:rsid w:val="69D93D8F"/>
    <w:rsid w:val="69DC0A05"/>
    <w:rsid w:val="69E43168"/>
    <w:rsid w:val="69E4632D"/>
    <w:rsid w:val="69E629A0"/>
    <w:rsid w:val="69EF170A"/>
    <w:rsid w:val="69F61E46"/>
    <w:rsid w:val="69F72260"/>
    <w:rsid w:val="69F97FD1"/>
    <w:rsid w:val="69FB7292"/>
    <w:rsid w:val="6A005EA2"/>
    <w:rsid w:val="6A0C7458"/>
    <w:rsid w:val="6A100831"/>
    <w:rsid w:val="6A240234"/>
    <w:rsid w:val="6A265FF8"/>
    <w:rsid w:val="6A2C558E"/>
    <w:rsid w:val="6A2E4938"/>
    <w:rsid w:val="6A2F4319"/>
    <w:rsid w:val="6A306EF8"/>
    <w:rsid w:val="6A390FD6"/>
    <w:rsid w:val="6A3A2D6F"/>
    <w:rsid w:val="6A3D4557"/>
    <w:rsid w:val="6A425C54"/>
    <w:rsid w:val="6A4A5207"/>
    <w:rsid w:val="6A502E40"/>
    <w:rsid w:val="6A573FA0"/>
    <w:rsid w:val="6A5C787F"/>
    <w:rsid w:val="6A603423"/>
    <w:rsid w:val="6A6E1B96"/>
    <w:rsid w:val="6A6F70A6"/>
    <w:rsid w:val="6A700A78"/>
    <w:rsid w:val="6A7663BC"/>
    <w:rsid w:val="6A817536"/>
    <w:rsid w:val="6A8867C8"/>
    <w:rsid w:val="6A897709"/>
    <w:rsid w:val="6A9519AC"/>
    <w:rsid w:val="6AA6259F"/>
    <w:rsid w:val="6AA8629A"/>
    <w:rsid w:val="6AAA23C8"/>
    <w:rsid w:val="6AAC6AC4"/>
    <w:rsid w:val="6AAD7AD3"/>
    <w:rsid w:val="6AB0529A"/>
    <w:rsid w:val="6AB51A0C"/>
    <w:rsid w:val="6AB72B7D"/>
    <w:rsid w:val="6ABB698F"/>
    <w:rsid w:val="6AC318C3"/>
    <w:rsid w:val="6AC73F20"/>
    <w:rsid w:val="6AC93F8C"/>
    <w:rsid w:val="6ACA6145"/>
    <w:rsid w:val="6ACC43AF"/>
    <w:rsid w:val="6ACF3867"/>
    <w:rsid w:val="6AD67FB5"/>
    <w:rsid w:val="6AD71AAF"/>
    <w:rsid w:val="6ADE2818"/>
    <w:rsid w:val="6AE339D2"/>
    <w:rsid w:val="6AE64043"/>
    <w:rsid w:val="6AE81DFA"/>
    <w:rsid w:val="6AE965EB"/>
    <w:rsid w:val="6AEA0B04"/>
    <w:rsid w:val="6AF464F5"/>
    <w:rsid w:val="6AF465D2"/>
    <w:rsid w:val="6AF6727B"/>
    <w:rsid w:val="6AF93927"/>
    <w:rsid w:val="6AFB3310"/>
    <w:rsid w:val="6B022932"/>
    <w:rsid w:val="6B136D2A"/>
    <w:rsid w:val="6B1A4EF8"/>
    <w:rsid w:val="6B231E28"/>
    <w:rsid w:val="6B2B0C5E"/>
    <w:rsid w:val="6B3249DB"/>
    <w:rsid w:val="6B3A456E"/>
    <w:rsid w:val="6B3B41AF"/>
    <w:rsid w:val="6B3D4A1D"/>
    <w:rsid w:val="6B3F75D2"/>
    <w:rsid w:val="6B4044B1"/>
    <w:rsid w:val="6B43411E"/>
    <w:rsid w:val="6B462AD5"/>
    <w:rsid w:val="6B4B484A"/>
    <w:rsid w:val="6B4F6E69"/>
    <w:rsid w:val="6B5C0EDD"/>
    <w:rsid w:val="6B762326"/>
    <w:rsid w:val="6B7B78A7"/>
    <w:rsid w:val="6B7D2D78"/>
    <w:rsid w:val="6B821317"/>
    <w:rsid w:val="6B8B02D3"/>
    <w:rsid w:val="6B980C2B"/>
    <w:rsid w:val="6BA80C82"/>
    <w:rsid w:val="6BAE4C93"/>
    <w:rsid w:val="6BB40C06"/>
    <w:rsid w:val="6BB52452"/>
    <w:rsid w:val="6BCE68DD"/>
    <w:rsid w:val="6BCF2F82"/>
    <w:rsid w:val="6BD30D3E"/>
    <w:rsid w:val="6BD74BFF"/>
    <w:rsid w:val="6BDA419C"/>
    <w:rsid w:val="6BDE033A"/>
    <w:rsid w:val="6BDE034D"/>
    <w:rsid w:val="6BE115FE"/>
    <w:rsid w:val="6BE20962"/>
    <w:rsid w:val="6BF3384B"/>
    <w:rsid w:val="6C013D80"/>
    <w:rsid w:val="6C090581"/>
    <w:rsid w:val="6C091D59"/>
    <w:rsid w:val="6C0E0ED2"/>
    <w:rsid w:val="6C19434B"/>
    <w:rsid w:val="6C196C7D"/>
    <w:rsid w:val="6C274D37"/>
    <w:rsid w:val="6C2759E1"/>
    <w:rsid w:val="6C36410D"/>
    <w:rsid w:val="6C4D2041"/>
    <w:rsid w:val="6C50417D"/>
    <w:rsid w:val="6C54593C"/>
    <w:rsid w:val="6C612530"/>
    <w:rsid w:val="6C6A7B10"/>
    <w:rsid w:val="6C811F29"/>
    <w:rsid w:val="6C861C36"/>
    <w:rsid w:val="6C8D4F99"/>
    <w:rsid w:val="6C8E6453"/>
    <w:rsid w:val="6C90223F"/>
    <w:rsid w:val="6C941652"/>
    <w:rsid w:val="6C9B7737"/>
    <w:rsid w:val="6C9D5743"/>
    <w:rsid w:val="6CA42E7D"/>
    <w:rsid w:val="6CAF40C7"/>
    <w:rsid w:val="6CB341D1"/>
    <w:rsid w:val="6CB42DAF"/>
    <w:rsid w:val="6CC01C26"/>
    <w:rsid w:val="6CC22A75"/>
    <w:rsid w:val="6CD3550E"/>
    <w:rsid w:val="6CE37C55"/>
    <w:rsid w:val="6CF13725"/>
    <w:rsid w:val="6CFE2728"/>
    <w:rsid w:val="6D010BA8"/>
    <w:rsid w:val="6D047084"/>
    <w:rsid w:val="6D0665B7"/>
    <w:rsid w:val="6D0B5A4A"/>
    <w:rsid w:val="6D0C798B"/>
    <w:rsid w:val="6D1241F8"/>
    <w:rsid w:val="6D144596"/>
    <w:rsid w:val="6D156955"/>
    <w:rsid w:val="6D1B323A"/>
    <w:rsid w:val="6D324D5B"/>
    <w:rsid w:val="6D3A5FFE"/>
    <w:rsid w:val="6D3E3663"/>
    <w:rsid w:val="6D407742"/>
    <w:rsid w:val="6D444866"/>
    <w:rsid w:val="6D4532F8"/>
    <w:rsid w:val="6D460913"/>
    <w:rsid w:val="6D497DF9"/>
    <w:rsid w:val="6D507AE2"/>
    <w:rsid w:val="6D5663E8"/>
    <w:rsid w:val="6D57586F"/>
    <w:rsid w:val="6D5E6EDE"/>
    <w:rsid w:val="6D6D452E"/>
    <w:rsid w:val="6D7960E5"/>
    <w:rsid w:val="6D821064"/>
    <w:rsid w:val="6D916388"/>
    <w:rsid w:val="6DA23651"/>
    <w:rsid w:val="6DB7735E"/>
    <w:rsid w:val="6DBF53DB"/>
    <w:rsid w:val="6DC148FA"/>
    <w:rsid w:val="6DCB25FB"/>
    <w:rsid w:val="6DCF680A"/>
    <w:rsid w:val="6DD00670"/>
    <w:rsid w:val="6DD139F5"/>
    <w:rsid w:val="6DD15C38"/>
    <w:rsid w:val="6DDC5DC8"/>
    <w:rsid w:val="6DDF4E94"/>
    <w:rsid w:val="6DDF6FEE"/>
    <w:rsid w:val="6DE202B1"/>
    <w:rsid w:val="6DE803CC"/>
    <w:rsid w:val="6DE922EA"/>
    <w:rsid w:val="6DEA2EAC"/>
    <w:rsid w:val="6DF14E06"/>
    <w:rsid w:val="6DF20F30"/>
    <w:rsid w:val="6DF528C2"/>
    <w:rsid w:val="6DFE6E0A"/>
    <w:rsid w:val="6E02368D"/>
    <w:rsid w:val="6E042BEB"/>
    <w:rsid w:val="6E052B3A"/>
    <w:rsid w:val="6E130393"/>
    <w:rsid w:val="6E1D0BCD"/>
    <w:rsid w:val="6E275952"/>
    <w:rsid w:val="6E284E3B"/>
    <w:rsid w:val="6E3259A7"/>
    <w:rsid w:val="6E335EAC"/>
    <w:rsid w:val="6E3753C1"/>
    <w:rsid w:val="6E45731B"/>
    <w:rsid w:val="6E467205"/>
    <w:rsid w:val="6E4E3407"/>
    <w:rsid w:val="6E5671C1"/>
    <w:rsid w:val="6E567CE8"/>
    <w:rsid w:val="6E5829A3"/>
    <w:rsid w:val="6E597E28"/>
    <w:rsid w:val="6E6A6FEA"/>
    <w:rsid w:val="6E7B748A"/>
    <w:rsid w:val="6E8D541A"/>
    <w:rsid w:val="6E8F535C"/>
    <w:rsid w:val="6E911FD4"/>
    <w:rsid w:val="6E9C1600"/>
    <w:rsid w:val="6EC67286"/>
    <w:rsid w:val="6ED203F4"/>
    <w:rsid w:val="6ED44793"/>
    <w:rsid w:val="6EDC1344"/>
    <w:rsid w:val="6EE5154F"/>
    <w:rsid w:val="6EEA668D"/>
    <w:rsid w:val="6EED2552"/>
    <w:rsid w:val="6EF52985"/>
    <w:rsid w:val="6EF60047"/>
    <w:rsid w:val="6EFB556C"/>
    <w:rsid w:val="6F0557E6"/>
    <w:rsid w:val="6F0B7FCE"/>
    <w:rsid w:val="6F0D5E3C"/>
    <w:rsid w:val="6F1D4E4E"/>
    <w:rsid w:val="6F260EDF"/>
    <w:rsid w:val="6F2D5781"/>
    <w:rsid w:val="6F365528"/>
    <w:rsid w:val="6F371D8F"/>
    <w:rsid w:val="6F37467A"/>
    <w:rsid w:val="6F5335E5"/>
    <w:rsid w:val="6F581D68"/>
    <w:rsid w:val="6F5C3F04"/>
    <w:rsid w:val="6F64144C"/>
    <w:rsid w:val="6F6571D2"/>
    <w:rsid w:val="6F66712A"/>
    <w:rsid w:val="6F6E39A0"/>
    <w:rsid w:val="6F6E7020"/>
    <w:rsid w:val="6F761F07"/>
    <w:rsid w:val="6FA40079"/>
    <w:rsid w:val="6FA871BB"/>
    <w:rsid w:val="6FAF22BD"/>
    <w:rsid w:val="6FB86520"/>
    <w:rsid w:val="6FBD74C3"/>
    <w:rsid w:val="6FCB6FB1"/>
    <w:rsid w:val="6FE2710E"/>
    <w:rsid w:val="6FE32E94"/>
    <w:rsid w:val="6FE36AF0"/>
    <w:rsid w:val="6FE477E8"/>
    <w:rsid w:val="6FEE6146"/>
    <w:rsid w:val="6FFB2B47"/>
    <w:rsid w:val="700542EC"/>
    <w:rsid w:val="70105602"/>
    <w:rsid w:val="70134DF9"/>
    <w:rsid w:val="701463A8"/>
    <w:rsid w:val="70285698"/>
    <w:rsid w:val="702E1D8E"/>
    <w:rsid w:val="702E36AC"/>
    <w:rsid w:val="70314C01"/>
    <w:rsid w:val="703F486A"/>
    <w:rsid w:val="7044027B"/>
    <w:rsid w:val="7049747A"/>
    <w:rsid w:val="705642DC"/>
    <w:rsid w:val="7057391D"/>
    <w:rsid w:val="705A0F29"/>
    <w:rsid w:val="705A6303"/>
    <w:rsid w:val="70661C3D"/>
    <w:rsid w:val="70672EB3"/>
    <w:rsid w:val="70692E4D"/>
    <w:rsid w:val="706A5FCD"/>
    <w:rsid w:val="706D5A97"/>
    <w:rsid w:val="707524B0"/>
    <w:rsid w:val="707C1F5B"/>
    <w:rsid w:val="707D2D49"/>
    <w:rsid w:val="707E1D86"/>
    <w:rsid w:val="70847B7F"/>
    <w:rsid w:val="708A40AC"/>
    <w:rsid w:val="708F3C38"/>
    <w:rsid w:val="70977E76"/>
    <w:rsid w:val="709C706E"/>
    <w:rsid w:val="709E63EE"/>
    <w:rsid w:val="70A100F3"/>
    <w:rsid w:val="70A22BC8"/>
    <w:rsid w:val="70A6543C"/>
    <w:rsid w:val="70A90B76"/>
    <w:rsid w:val="70C212BB"/>
    <w:rsid w:val="70C3285D"/>
    <w:rsid w:val="70CF1818"/>
    <w:rsid w:val="70D33614"/>
    <w:rsid w:val="70DF0D26"/>
    <w:rsid w:val="70DF581E"/>
    <w:rsid w:val="70E30485"/>
    <w:rsid w:val="70E665E2"/>
    <w:rsid w:val="70EA5F87"/>
    <w:rsid w:val="70F93017"/>
    <w:rsid w:val="710354AD"/>
    <w:rsid w:val="710B428A"/>
    <w:rsid w:val="710D2984"/>
    <w:rsid w:val="710E4393"/>
    <w:rsid w:val="71104699"/>
    <w:rsid w:val="71164C00"/>
    <w:rsid w:val="712F05D2"/>
    <w:rsid w:val="71313D75"/>
    <w:rsid w:val="71324502"/>
    <w:rsid w:val="71334E77"/>
    <w:rsid w:val="71351A52"/>
    <w:rsid w:val="713C0A33"/>
    <w:rsid w:val="713C71C2"/>
    <w:rsid w:val="71417D95"/>
    <w:rsid w:val="71457902"/>
    <w:rsid w:val="71505B7F"/>
    <w:rsid w:val="716331B2"/>
    <w:rsid w:val="716A48F8"/>
    <w:rsid w:val="716D0FCC"/>
    <w:rsid w:val="71704259"/>
    <w:rsid w:val="717D289E"/>
    <w:rsid w:val="717D3C77"/>
    <w:rsid w:val="718D14F6"/>
    <w:rsid w:val="719218D6"/>
    <w:rsid w:val="71942565"/>
    <w:rsid w:val="71945EE3"/>
    <w:rsid w:val="719D489D"/>
    <w:rsid w:val="71AB6CD2"/>
    <w:rsid w:val="71AF395C"/>
    <w:rsid w:val="71B33913"/>
    <w:rsid w:val="71B71879"/>
    <w:rsid w:val="71CC4B96"/>
    <w:rsid w:val="71CF5CC5"/>
    <w:rsid w:val="71D07B2C"/>
    <w:rsid w:val="71D1148F"/>
    <w:rsid w:val="71DA7738"/>
    <w:rsid w:val="71E4140F"/>
    <w:rsid w:val="71E479EF"/>
    <w:rsid w:val="71E60ED4"/>
    <w:rsid w:val="71E91B2D"/>
    <w:rsid w:val="71F2398C"/>
    <w:rsid w:val="721162B1"/>
    <w:rsid w:val="72167CFC"/>
    <w:rsid w:val="72261090"/>
    <w:rsid w:val="722E0255"/>
    <w:rsid w:val="7237552F"/>
    <w:rsid w:val="723814D9"/>
    <w:rsid w:val="723A2857"/>
    <w:rsid w:val="723B0E22"/>
    <w:rsid w:val="724C61E0"/>
    <w:rsid w:val="724D3696"/>
    <w:rsid w:val="72522C05"/>
    <w:rsid w:val="72581933"/>
    <w:rsid w:val="72654AA1"/>
    <w:rsid w:val="72683911"/>
    <w:rsid w:val="726864F7"/>
    <w:rsid w:val="72770656"/>
    <w:rsid w:val="72806FEB"/>
    <w:rsid w:val="728576DC"/>
    <w:rsid w:val="728D2AAD"/>
    <w:rsid w:val="729777CE"/>
    <w:rsid w:val="729A77AF"/>
    <w:rsid w:val="729B19CB"/>
    <w:rsid w:val="729C28A0"/>
    <w:rsid w:val="729E7060"/>
    <w:rsid w:val="72AA30A9"/>
    <w:rsid w:val="72AB6428"/>
    <w:rsid w:val="72AF7717"/>
    <w:rsid w:val="72C01692"/>
    <w:rsid w:val="72C606B1"/>
    <w:rsid w:val="72D25180"/>
    <w:rsid w:val="72D55111"/>
    <w:rsid w:val="72D95848"/>
    <w:rsid w:val="72DB4DE5"/>
    <w:rsid w:val="72E62AC1"/>
    <w:rsid w:val="72EE7679"/>
    <w:rsid w:val="72FB2BAD"/>
    <w:rsid w:val="730564F6"/>
    <w:rsid w:val="730B0D82"/>
    <w:rsid w:val="730F07EC"/>
    <w:rsid w:val="73124B3E"/>
    <w:rsid w:val="73142CE1"/>
    <w:rsid w:val="731468B0"/>
    <w:rsid w:val="73173F72"/>
    <w:rsid w:val="731A098B"/>
    <w:rsid w:val="731C2AB0"/>
    <w:rsid w:val="731E0DD5"/>
    <w:rsid w:val="73241529"/>
    <w:rsid w:val="7329380E"/>
    <w:rsid w:val="732C3501"/>
    <w:rsid w:val="733158A7"/>
    <w:rsid w:val="7336333D"/>
    <w:rsid w:val="73372F8F"/>
    <w:rsid w:val="734255B8"/>
    <w:rsid w:val="734261E3"/>
    <w:rsid w:val="73493F99"/>
    <w:rsid w:val="734D41D9"/>
    <w:rsid w:val="73533040"/>
    <w:rsid w:val="73550AEE"/>
    <w:rsid w:val="73595486"/>
    <w:rsid w:val="735B2304"/>
    <w:rsid w:val="735D6D90"/>
    <w:rsid w:val="736F69CB"/>
    <w:rsid w:val="73783B28"/>
    <w:rsid w:val="737C2108"/>
    <w:rsid w:val="737C4A75"/>
    <w:rsid w:val="737D693A"/>
    <w:rsid w:val="737F696C"/>
    <w:rsid w:val="7382416B"/>
    <w:rsid w:val="73833A6B"/>
    <w:rsid w:val="73860E39"/>
    <w:rsid w:val="738F50F9"/>
    <w:rsid w:val="739020F5"/>
    <w:rsid w:val="73922BBC"/>
    <w:rsid w:val="739850FB"/>
    <w:rsid w:val="73992BDC"/>
    <w:rsid w:val="739B4E5B"/>
    <w:rsid w:val="73A12656"/>
    <w:rsid w:val="73A154F5"/>
    <w:rsid w:val="73A258A5"/>
    <w:rsid w:val="73A50E5F"/>
    <w:rsid w:val="73BD1C46"/>
    <w:rsid w:val="73C11C35"/>
    <w:rsid w:val="73C37EBD"/>
    <w:rsid w:val="73D420A7"/>
    <w:rsid w:val="73DA16EC"/>
    <w:rsid w:val="73DA7093"/>
    <w:rsid w:val="73DD3136"/>
    <w:rsid w:val="73E02CB2"/>
    <w:rsid w:val="73E609F6"/>
    <w:rsid w:val="73E63EF4"/>
    <w:rsid w:val="73F57670"/>
    <w:rsid w:val="73FB0CF1"/>
    <w:rsid w:val="7401538C"/>
    <w:rsid w:val="74066A26"/>
    <w:rsid w:val="740966C4"/>
    <w:rsid w:val="740D1B70"/>
    <w:rsid w:val="741A7A82"/>
    <w:rsid w:val="74215AEF"/>
    <w:rsid w:val="742358B9"/>
    <w:rsid w:val="74242B43"/>
    <w:rsid w:val="74245A22"/>
    <w:rsid w:val="74352E12"/>
    <w:rsid w:val="743B0EB0"/>
    <w:rsid w:val="743B4D46"/>
    <w:rsid w:val="743D60CF"/>
    <w:rsid w:val="7449203D"/>
    <w:rsid w:val="74522AFA"/>
    <w:rsid w:val="74527403"/>
    <w:rsid w:val="745B1B4A"/>
    <w:rsid w:val="746F1166"/>
    <w:rsid w:val="747506DF"/>
    <w:rsid w:val="747B56E6"/>
    <w:rsid w:val="74864FC2"/>
    <w:rsid w:val="74876FD5"/>
    <w:rsid w:val="74885903"/>
    <w:rsid w:val="748C5E06"/>
    <w:rsid w:val="7497437F"/>
    <w:rsid w:val="74A81B1D"/>
    <w:rsid w:val="74A95205"/>
    <w:rsid w:val="74AC2D97"/>
    <w:rsid w:val="74AC541B"/>
    <w:rsid w:val="74B4605F"/>
    <w:rsid w:val="74C355DC"/>
    <w:rsid w:val="74C9204A"/>
    <w:rsid w:val="74D126BB"/>
    <w:rsid w:val="74EA15BB"/>
    <w:rsid w:val="74F10F59"/>
    <w:rsid w:val="74F63EEF"/>
    <w:rsid w:val="74FD41BD"/>
    <w:rsid w:val="75093186"/>
    <w:rsid w:val="750D7758"/>
    <w:rsid w:val="75100B2D"/>
    <w:rsid w:val="751725B8"/>
    <w:rsid w:val="75191453"/>
    <w:rsid w:val="75224643"/>
    <w:rsid w:val="75253A05"/>
    <w:rsid w:val="75306A5D"/>
    <w:rsid w:val="753E53F4"/>
    <w:rsid w:val="753F67CC"/>
    <w:rsid w:val="75433B08"/>
    <w:rsid w:val="75444ABE"/>
    <w:rsid w:val="754A0F23"/>
    <w:rsid w:val="754D3FCF"/>
    <w:rsid w:val="7553172C"/>
    <w:rsid w:val="7555144C"/>
    <w:rsid w:val="757254FE"/>
    <w:rsid w:val="757A2054"/>
    <w:rsid w:val="757B1B72"/>
    <w:rsid w:val="758D4269"/>
    <w:rsid w:val="758F7F65"/>
    <w:rsid w:val="75915324"/>
    <w:rsid w:val="75960829"/>
    <w:rsid w:val="759825CD"/>
    <w:rsid w:val="75A353CC"/>
    <w:rsid w:val="75A73C32"/>
    <w:rsid w:val="75BE0F62"/>
    <w:rsid w:val="75BF321D"/>
    <w:rsid w:val="75C00D8E"/>
    <w:rsid w:val="75C80A78"/>
    <w:rsid w:val="75D26653"/>
    <w:rsid w:val="75D45DFA"/>
    <w:rsid w:val="75D5077F"/>
    <w:rsid w:val="75E42AE8"/>
    <w:rsid w:val="75EB05D9"/>
    <w:rsid w:val="75EC3CEA"/>
    <w:rsid w:val="76014149"/>
    <w:rsid w:val="76060BFE"/>
    <w:rsid w:val="76110AC7"/>
    <w:rsid w:val="761A66B6"/>
    <w:rsid w:val="761B232D"/>
    <w:rsid w:val="761F49A8"/>
    <w:rsid w:val="76285241"/>
    <w:rsid w:val="76344422"/>
    <w:rsid w:val="763B0EDB"/>
    <w:rsid w:val="76420FEC"/>
    <w:rsid w:val="7649643E"/>
    <w:rsid w:val="766078FC"/>
    <w:rsid w:val="768F2641"/>
    <w:rsid w:val="76907318"/>
    <w:rsid w:val="76961522"/>
    <w:rsid w:val="769F2961"/>
    <w:rsid w:val="76B6531A"/>
    <w:rsid w:val="76B85E38"/>
    <w:rsid w:val="76C95B94"/>
    <w:rsid w:val="76D84598"/>
    <w:rsid w:val="76E97048"/>
    <w:rsid w:val="76F10374"/>
    <w:rsid w:val="76F34F80"/>
    <w:rsid w:val="76F87BC0"/>
    <w:rsid w:val="77032222"/>
    <w:rsid w:val="77040372"/>
    <w:rsid w:val="77042E12"/>
    <w:rsid w:val="77070EA7"/>
    <w:rsid w:val="770872FC"/>
    <w:rsid w:val="77093BCD"/>
    <w:rsid w:val="77111BA5"/>
    <w:rsid w:val="77176A7E"/>
    <w:rsid w:val="77176EEA"/>
    <w:rsid w:val="7718299F"/>
    <w:rsid w:val="77185016"/>
    <w:rsid w:val="771C64B6"/>
    <w:rsid w:val="77225CF1"/>
    <w:rsid w:val="77272820"/>
    <w:rsid w:val="772806C1"/>
    <w:rsid w:val="77283A7B"/>
    <w:rsid w:val="772A1D8C"/>
    <w:rsid w:val="772B0E02"/>
    <w:rsid w:val="772C5C90"/>
    <w:rsid w:val="77342819"/>
    <w:rsid w:val="773E5A40"/>
    <w:rsid w:val="7757328D"/>
    <w:rsid w:val="775B2FB5"/>
    <w:rsid w:val="775F6132"/>
    <w:rsid w:val="776015AE"/>
    <w:rsid w:val="77604721"/>
    <w:rsid w:val="77610B26"/>
    <w:rsid w:val="77620953"/>
    <w:rsid w:val="77672626"/>
    <w:rsid w:val="778F0CF5"/>
    <w:rsid w:val="77965F38"/>
    <w:rsid w:val="779D4665"/>
    <w:rsid w:val="77A51A8A"/>
    <w:rsid w:val="77B52F08"/>
    <w:rsid w:val="77C22359"/>
    <w:rsid w:val="77C462C0"/>
    <w:rsid w:val="77CE1743"/>
    <w:rsid w:val="77CE426C"/>
    <w:rsid w:val="77D02F78"/>
    <w:rsid w:val="77D04EB7"/>
    <w:rsid w:val="77D330EB"/>
    <w:rsid w:val="77DE545E"/>
    <w:rsid w:val="77E439E2"/>
    <w:rsid w:val="77E60D0E"/>
    <w:rsid w:val="77E76E9A"/>
    <w:rsid w:val="77EA4821"/>
    <w:rsid w:val="77EC4E24"/>
    <w:rsid w:val="77F05032"/>
    <w:rsid w:val="77FF4F73"/>
    <w:rsid w:val="780440EC"/>
    <w:rsid w:val="78103C63"/>
    <w:rsid w:val="781339BC"/>
    <w:rsid w:val="78134ECE"/>
    <w:rsid w:val="781E4702"/>
    <w:rsid w:val="782C14A5"/>
    <w:rsid w:val="782F0D09"/>
    <w:rsid w:val="7830216E"/>
    <w:rsid w:val="78423C49"/>
    <w:rsid w:val="786132B1"/>
    <w:rsid w:val="78667813"/>
    <w:rsid w:val="78680D37"/>
    <w:rsid w:val="786B74BF"/>
    <w:rsid w:val="786C3CB4"/>
    <w:rsid w:val="786E0605"/>
    <w:rsid w:val="78705A57"/>
    <w:rsid w:val="787246FD"/>
    <w:rsid w:val="788336B0"/>
    <w:rsid w:val="788526FC"/>
    <w:rsid w:val="78893A99"/>
    <w:rsid w:val="78925B06"/>
    <w:rsid w:val="789531C4"/>
    <w:rsid w:val="78A17B36"/>
    <w:rsid w:val="78A23C24"/>
    <w:rsid w:val="78A51BAF"/>
    <w:rsid w:val="78A71725"/>
    <w:rsid w:val="78A732F3"/>
    <w:rsid w:val="78AD70A6"/>
    <w:rsid w:val="78B00F32"/>
    <w:rsid w:val="78B2376D"/>
    <w:rsid w:val="78B31370"/>
    <w:rsid w:val="78C9676E"/>
    <w:rsid w:val="78CC62F5"/>
    <w:rsid w:val="78CC73C1"/>
    <w:rsid w:val="78DE014D"/>
    <w:rsid w:val="78E1416F"/>
    <w:rsid w:val="78E510C7"/>
    <w:rsid w:val="78EA480B"/>
    <w:rsid w:val="78F35C9D"/>
    <w:rsid w:val="78F444EF"/>
    <w:rsid w:val="78F637F8"/>
    <w:rsid w:val="79064571"/>
    <w:rsid w:val="79187E38"/>
    <w:rsid w:val="791F55A3"/>
    <w:rsid w:val="79235AC0"/>
    <w:rsid w:val="7930480C"/>
    <w:rsid w:val="794B094E"/>
    <w:rsid w:val="794F7E8E"/>
    <w:rsid w:val="795E687C"/>
    <w:rsid w:val="79621AF3"/>
    <w:rsid w:val="796964E7"/>
    <w:rsid w:val="796D239C"/>
    <w:rsid w:val="79787894"/>
    <w:rsid w:val="798B0C99"/>
    <w:rsid w:val="798F446C"/>
    <w:rsid w:val="79A53D1D"/>
    <w:rsid w:val="79AA253A"/>
    <w:rsid w:val="79AA7229"/>
    <w:rsid w:val="79AA7CDC"/>
    <w:rsid w:val="79B052F7"/>
    <w:rsid w:val="79BA2777"/>
    <w:rsid w:val="79BC25CD"/>
    <w:rsid w:val="79C45973"/>
    <w:rsid w:val="79C5663D"/>
    <w:rsid w:val="79C567D9"/>
    <w:rsid w:val="79C8159E"/>
    <w:rsid w:val="79D433B8"/>
    <w:rsid w:val="79E651B1"/>
    <w:rsid w:val="79E67049"/>
    <w:rsid w:val="79ED10BA"/>
    <w:rsid w:val="79F04660"/>
    <w:rsid w:val="79FE067C"/>
    <w:rsid w:val="7A0917C6"/>
    <w:rsid w:val="7A095A05"/>
    <w:rsid w:val="7A0A51A9"/>
    <w:rsid w:val="7A1120BB"/>
    <w:rsid w:val="7A1D08E9"/>
    <w:rsid w:val="7A20518A"/>
    <w:rsid w:val="7A236AC0"/>
    <w:rsid w:val="7A2717D9"/>
    <w:rsid w:val="7A297A88"/>
    <w:rsid w:val="7A2A6883"/>
    <w:rsid w:val="7A2F2756"/>
    <w:rsid w:val="7A331012"/>
    <w:rsid w:val="7A3C6B9C"/>
    <w:rsid w:val="7A4128D0"/>
    <w:rsid w:val="7A4250B5"/>
    <w:rsid w:val="7A4F609B"/>
    <w:rsid w:val="7A500D95"/>
    <w:rsid w:val="7A5018E0"/>
    <w:rsid w:val="7A5430A5"/>
    <w:rsid w:val="7A5704F8"/>
    <w:rsid w:val="7A5B2479"/>
    <w:rsid w:val="7A5B29F4"/>
    <w:rsid w:val="7A5D6C48"/>
    <w:rsid w:val="7A5F755F"/>
    <w:rsid w:val="7A612EA9"/>
    <w:rsid w:val="7A633D52"/>
    <w:rsid w:val="7A6A6842"/>
    <w:rsid w:val="7A6D7C41"/>
    <w:rsid w:val="7A6E60E1"/>
    <w:rsid w:val="7A741589"/>
    <w:rsid w:val="7A7C426F"/>
    <w:rsid w:val="7A9053D1"/>
    <w:rsid w:val="7AA657CF"/>
    <w:rsid w:val="7AA82CBB"/>
    <w:rsid w:val="7AA83733"/>
    <w:rsid w:val="7AAB44E3"/>
    <w:rsid w:val="7AAC0632"/>
    <w:rsid w:val="7AAE0F3A"/>
    <w:rsid w:val="7AB2569C"/>
    <w:rsid w:val="7AB73DDE"/>
    <w:rsid w:val="7ABA528C"/>
    <w:rsid w:val="7AC04F33"/>
    <w:rsid w:val="7ACB579D"/>
    <w:rsid w:val="7ACD23D5"/>
    <w:rsid w:val="7AD0537D"/>
    <w:rsid w:val="7ADC74D9"/>
    <w:rsid w:val="7AF2514E"/>
    <w:rsid w:val="7AF3552C"/>
    <w:rsid w:val="7AFC08CE"/>
    <w:rsid w:val="7B0503A0"/>
    <w:rsid w:val="7B147A61"/>
    <w:rsid w:val="7B176369"/>
    <w:rsid w:val="7B1C39A6"/>
    <w:rsid w:val="7B3E3FF5"/>
    <w:rsid w:val="7B4179AE"/>
    <w:rsid w:val="7B4E12EF"/>
    <w:rsid w:val="7B5147E9"/>
    <w:rsid w:val="7B533C26"/>
    <w:rsid w:val="7B59591C"/>
    <w:rsid w:val="7B66777B"/>
    <w:rsid w:val="7B686225"/>
    <w:rsid w:val="7B6A43E9"/>
    <w:rsid w:val="7B6A48E5"/>
    <w:rsid w:val="7B79532E"/>
    <w:rsid w:val="7B8A05FF"/>
    <w:rsid w:val="7B8C3BB0"/>
    <w:rsid w:val="7B9679A3"/>
    <w:rsid w:val="7B9F486C"/>
    <w:rsid w:val="7BA0134D"/>
    <w:rsid w:val="7BA02842"/>
    <w:rsid w:val="7BA66DBF"/>
    <w:rsid w:val="7BAB7433"/>
    <w:rsid w:val="7BAD2406"/>
    <w:rsid w:val="7BB378F7"/>
    <w:rsid w:val="7BB51D66"/>
    <w:rsid w:val="7BC47370"/>
    <w:rsid w:val="7BCA7890"/>
    <w:rsid w:val="7BD52200"/>
    <w:rsid w:val="7BDF7A6D"/>
    <w:rsid w:val="7BE21AB9"/>
    <w:rsid w:val="7BED2328"/>
    <w:rsid w:val="7BED5119"/>
    <w:rsid w:val="7BF256E1"/>
    <w:rsid w:val="7BFC38FB"/>
    <w:rsid w:val="7BFF2E14"/>
    <w:rsid w:val="7C121ADE"/>
    <w:rsid w:val="7C123980"/>
    <w:rsid w:val="7C1C2733"/>
    <w:rsid w:val="7C1E1CF9"/>
    <w:rsid w:val="7C1E6730"/>
    <w:rsid w:val="7C3B3E01"/>
    <w:rsid w:val="7C5457B3"/>
    <w:rsid w:val="7C545D7D"/>
    <w:rsid w:val="7C69387F"/>
    <w:rsid w:val="7C713C1B"/>
    <w:rsid w:val="7C753E88"/>
    <w:rsid w:val="7C767384"/>
    <w:rsid w:val="7C7A73FB"/>
    <w:rsid w:val="7C854659"/>
    <w:rsid w:val="7C8A3ABC"/>
    <w:rsid w:val="7C8D401B"/>
    <w:rsid w:val="7C9C45BC"/>
    <w:rsid w:val="7CA10241"/>
    <w:rsid w:val="7CA7500D"/>
    <w:rsid w:val="7CA953B6"/>
    <w:rsid w:val="7CAE226A"/>
    <w:rsid w:val="7CB208E6"/>
    <w:rsid w:val="7CB867F6"/>
    <w:rsid w:val="7CB96F6D"/>
    <w:rsid w:val="7CC430D2"/>
    <w:rsid w:val="7CD011E3"/>
    <w:rsid w:val="7CD41DDD"/>
    <w:rsid w:val="7CD968C9"/>
    <w:rsid w:val="7CDB2CB5"/>
    <w:rsid w:val="7CE35407"/>
    <w:rsid w:val="7CED11F7"/>
    <w:rsid w:val="7CF0008F"/>
    <w:rsid w:val="7CFB429C"/>
    <w:rsid w:val="7D127F1D"/>
    <w:rsid w:val="7D1419D3"/>
    <w:rsid w:val="7D207948"/>
    <w:rsid w:val="7D21446A"/>
    <w:rsid w:val="7D2D0218"/>
    <w:rsid w:val="7D3E29C3"/>
    <w:rsid w:val="7D463DE6"/>
    <w:rsid w:val="7D49190F"/>
    <w:rsid w:val="7D4B0BEA"/>
    <w:rsid w:val="7D5279B4"/>
    <w:rsid w:val="7D6737FE"/>
    <w:rsid w:val="7D6D39D7"/>
    <w:rsid w:val="7D706812"/>
    <w:rsid w:val="7D7B474F"/>
    <w:rsid w:val="7D7C234B"/>
    <w:rsid w:val="7D7F5F10"/>
    <w:rsid w:val="7D806EE2"/>
    <w:rsid w:val="7D810AC9"/>
    <w:rsid w:val="7D811F3F"/>
    <w:rsid w:val="7D8213AC"/>
    <w:rsid w:val="7D9F7443"/>
    <w:rsid w:val="7DA87CB7"/>
    <w:rsid w:val="7DB40CE9"/>
    <w:rsid w:val="7DB44F75"/>
    <w:rsid w:val="7DBC2980"/>
    <w:rsid w:val="7DBD6DC9"/>
    <w:rsid w:val="7DC058CC"/>
    <w:rsid w:val="7DCC0A5E"/>
    <w:rsid w:val="7DD24CA8"/>
    <w:rsid w:val="7DD3172C"/>
    <w:rsid w:val="7DD64445"/>
    <w:rsid w:val="7DD71204"/>
    <w:rsid w:val="7DE104BC"/>
    <w:rsid w:val="7DEE4D00"/>
    <w:rsid w:val="7DEF1257"/>
    <w:rsid w:val="7DF21782"/>
    <w:rsid w:val="7DF44876"/>
    <w:rsid w:val="7DF87012"/>
    <w:rsid w:val="7E093E8A"/>
    <w:rsid w:val="7E0B3E6C"/>
    <w:rsid w:val="7E0F2E3C"/>
    <w:rsid w:val="7E182232"/>
    <w:rsid w:val="7E1F0A98"/>
    <w:rsid w:val="7E1F5560"/>
    <w:rsid w:val="7E203C22"/>
    <w:rsid w:val="7E2A1CAA"/>
    <w:rsid w:val="7E384C6A"/>
    <w:rsid w:val="7E3F1660"/>
    <w:rsid w:val="7E417898"/>
    <w:rsid w:val="7E4318EE"/>
    <w:rsid w:val="7E436D9B"/>
    <w:rsid w:val="7E486BF1"/>
    <w:rsid w:val="7E4C347D"/>
    <w:rsid w:val="7E593445"/>
    <w:rsid w:val="7E5C66C5"/>
    <w:rsid w:val="7E5E1BCC"/>
    <w:rsid w:val="7E656B9C"/>
    <w:rsid w:val="7E6B4EE0"/>
    <w:rsid w:val="7E6F7087"/>
    <w:rsid w:val="7E7E5567"/>
    <w:rsid w:val="7E8B0DED"/>
    <w:rsid w:val="7E8C5D3C"/>
    <w:rsid w:val="7E984F39"/>
    <w:rsid w:val="7E98676B"/>
    <w:rsid w:val="7E9A3F2C"/>
    <w:rsid w:val="7E9F0689"/>
    <w:rsid w:val="7E9F6FC9"/>
    <w:rsid w:val="7EAD6A55"/>
    <w:rsid w:val="7EAF3F46"/>
    <w:rsid w:val="7EBA234D"/>
    <w:rsid w:val="7EBF3C13"/>
    <w:rsid w:val="7EC75A5E"/>
    <w:rsid w:val="7EC766E0"/>
    <w:rsid w:val="7ED06F14"/>
    <w:rsid w:val="7ED1694D"/>
    <w:rsid w:val="7ED26B2C"/>
    <w:rsid w:val="7ED94326"/>
    <w:rsid w:val="7EDE22D4"/>
    <w:rsid w:val="7EE50D0C"/>
    <w:rsid w:val="7EED109D"/>
    <w:rsid w:val="7EF00C0D"/>
    <w:rsid w:val="7EF321FD"/>
    <w:rsid w:val="7EF3450E"/>
    <w:rsid w:val="7EFC1A7B"/>
    <w:rsid w:val="7EFD06F4"/>
    <w:rsid w:val="7EFD1714"/>
    <w:rsid w:val="7F056BDF"/>
    <w:rsid w:val="7F0659E8"/>
    <w:rsid w:val="7F0832FA"/>
    <w:rsid w:val="7F1955AB"/>
    <w:rsid w:val="7F1C1779"/>
    <w:rsid w:val="7F2708BF"/>
    <w:rsid w:val="7F2930AB"/>
    <w:rsid w:val="7F314EF0"/>
    <w:rsid w:val="7F350C14"/>
    <w:rsid w:val="7F361D3F"/>
    <w:rsid w:val="7F376B16"/>
    <w:rsid w:val="7F3A6EA1"/>
    <w:rsid w:val="7F416C53"/>
    <w:rsid w:val="7F4569AA"/>
    <w:rsid w:val="7F4743E6"/>
    <w:rsid w:val="7F4B6B43"/>
    <w:rsid w:val="7F544881"/>
    <w:rsid w:val="7F5505C0"/>
    <w:rsid w:val="7F5C2735"/>
    <w:rsid w:val="7F5F1AF9"/>
    <w:rsid w:val="7F647944"/>
    <w:rsid w:val="7F6B7839"/>
    <w:rsid w:val="7F7472CA"/>
    <w:rsid w:val="7F7A3335"/>
    <w:rsid w:val="7F7F6E7D"/>
    <w:rsid w:val="7F8612A3"/>
    <w:rsid w:val="7F885D4D"/>
    <w:rsid w:val="7F897327"/>
    <w:rsid w:val="7F926492"/>
    <w:rsid w:val="7F963D03"/>
    <w:rsid w:val="7F965505"/>
    <w:rsid w:val="7F98737D"/>
    <w:rsid w:val="7F9C2DCF"/>
    <w:rsid w:val="7FA83F71"/>
    <w:rsid w:val="7FA8656F"/>
    <w:rsid w:val="7FAD1F4F"/>
    <w:rsid w:val="7FB5560E"/>
    <w:rsid w:val="7FC33246"/>
    <w:rsid w:val="7FCE3FE1"/>
    <w:rsid w:val="7FD00192"/>
    <w:rsid w:val="7FD069B6"/>
    <w:rsid w:val="7FD57EF8"/>
    <w:rsid w:val="7FE0408E"/>
    <w:rsid w:val="7FE5068E"/>
    <w:rsid w:val="7FE632D7"/>
    <w:rsid w:val="7FF01D6F"/>
    <w:rsid w:val="7FF73986"/>
    <w:rsid w:val="7FF81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tabs>
        <w:tab w:val="left" w:pos="450"/>
      </w:tabs>
      <w:spacing w:before="240"/>
      <w:outlineLvl w:val="0"/>
    </w:pPr>
    <w:rPr>
      <w:rFonts w:ascii="Arial" w:hAnsi="Arial"/>
      <w:sz w:val="36"/>
    </w:rPr>
  </w:style>
  <w:style w:type="paragraph" w:styleId="3">
    <w:name w:val="heading 2"/>
    <w:basedOn w:val="2"/>
    <w:next w:val="1"/>
    <w:link w:val="65"/>
    <w:qFormat/>
    <w:uiPriority w:val="0"/>
    <w:pPr>
      <w:numPr>
        <w:ilvl w:val="1"/>
        <w:numId w:val="1"/>
      </w:numPr>
      <w:pBdr>
        <w:top w:val="none" w:color="auto" w:sz="0" w:space="0"/>
      </w:pBdr>
      <w:spacing w:after="60"/>
      <w:ind w:left="575" w:hanging="575"/>
      <w:outlineLvl w:val="1"/>
    </w:pPr>
    <w:rPr>
      <w:bCs/>
      <w:iCs/>
      <w:sz w:val="28"/>
      <w:szCs w:val="28"/>
    </w:rPr>
  </w:style>
  <w:style w:type="paragraph" w:styleId="4">
    <w:name w:val="heading 3"/>
    <w:basedOn w:val="1"/>
    <w:next w:val="1"/>
    <w:qFormat/>
    <w:uiPriority w:val="0"/>
    <w:pPr>
      <w:numPr>
        <w:ilvl w:val="2"/>
        <w:numId w:val="1"/>
      </w:numPr>
      <w:spacing w:after="240"/>
      <w:ind w:left="720" w:hanging="720"/>
      <w:outlineLvl w:val="2"/>
    </w:pPr>
    <w:rPr>
      <w:rFonts w:cs="Arial"/>
      <w:sz w:val="24"/>
      <w:szCs w:val="26"/>
    </w:rPr>
  </w:style>
  <w:style w:type="paragraph" w:styleId="5">
    <w:name w:val="heading 4"/>
    <w:basedOn w:val="4"/>
    <w:next w:val="1"/>
    <w:qFormat/>
    <w:uiPriority w:val="0"/>
    <w:pPr>
      <w:numPr>
        <w:ilvl w:val="3"/>
        <w:numId w:val="1"/>
      </w:numPr>
      <w:spacing w:before="120" w:after="180"/>
      <w:ind w:left="864" w:hanging="864"/>
      <w:outlineLvl w:val="3"/>
    </w:pPr>
    <w:rPr>
      <w:rFonts w:cs="Times New Roman"/>
      <w:szCs w:val="20"/>
    </w:rPr>
  </w:style>
  <w:style w:type="paragraph" w:styleId="6">
    <w:name w:val="heading 5"/>
    <w:basedOn w:val="1"/>
    <w:next w:val="1"/>
    <w:qFormat/>
    <w:uiPriority w:val="0"/>
    <w:pPr>
      <w:keepNext/>
      <w:keepLines/>
      <w:numPr>
        <w:ilvl w:val="4"/>
        <w:numId w:val="1"/>
      </w:numPr>
      <w:spacing w:before="280" w:after="290" w:line="376" w:lineRule="auto"/>
      <w:ind w:left="1008" w:hanging="1008"/>
      <w:outlineLvl w:val="4"/>
    </w:pPr>
    <w:rPr>
      <w:b/>
      <w:bCs/>
      <w:sz w:val="28"/>
      <w:szCs w:val="28"/>
    </w:rPr>
  </w:style>
  <w:style w:type="paragraph" w:styleId="7">
    <w:name w:val="heading 6"/>
    <w:basedOn w:val="1"/>
    <w:next w:val="1"/>
    <w:qFormat/>
    <w:uiPriority w:val="0"/>
    <w:pPr>
      <w:keepNext/>
      <w:keepLines/>
      <w:numPr>
        <w:ilvl w:val="5"/>
        <w:numId w:val="1"/>
      </w:numPr>
      <w:tabs>
        <w:tab w:val="left" w:pos="1152"/>
      </w:tabs>
      <w:spacing w:before="120"/>
      <w:ind w:left="1151" w:hanging="1151"/>
      <w:outlineLvl w:val="5"/>
    </w:pPr>
    <w:rPr>
      <w:rFonts w:ascii="Arial" w:hAnsi="Arial" w:eastAsia="Batang"/>
    </w:rPr>
  </w:style>
  <w:style w:type="paragraph" w:styleId="8">
    <w:name w:val="heading 7"/>
    <w:basedOn w:val="1"/>
    <w:next w:val="1"/>
    <w:qFormat/>
    <w:uiPriority w:val="0"/>
    <w:pPr>
      <w:keepNext/>
      <w:keepLines/>
      <w:numPr>
        <w:ilvl w:val="6"/>
        <w:numId w:val="1"/>
      </w:numPr>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ilvl w:val="7"/>
        <w:numId w:val="1"/>
      </w:numPr>
      <w:tabs>
        <w:tab w:val="left" w:pos="1440"/>
      </w:tabs>
      <w:ind w:left="1440" w:hanging="1440"/>
      <w:outlineLvl w:val="7"/>
    </w:pPr>
    <w:rPr>
      <w:rFonts w:eastAsia="Batang"/>
    </w:rPr>
  </w:style>
  <w:style w:type="paragraph" w:styleId="10">
    <w:name w:val="heading 9"/>
    <w:basedOn w:val="9"/>
    <w:next w:val="1"/>
    <w:qFormat/>
    <w:uiPriority w:val="0"/>
    <w:pPr>
      <w:numPr>
        <w:ilvl w:val="8"/>
      </w:numPr>
      <w:tabs>
        <w:tab w:val="left" w:pos="1584"/>
        <w:tab w:val="clear" w:pos="1440"/>
      </w:tabs>
      <w:ind w:left="1583" w:hanging="1583"/>
      <w:outlineLvl w:val="8"/>
    </w:pPr>
  </w:style>
  <w:style w:type="character" w:default="1" w:styleId="25">
    <w:name w:val="Default Paragraph Font"/>
    <w:unhideWhenUsed/>
    <w:qFormat/>
    <w:uiPriority w:val="1"/>
  </w:style>
  <w:style w:type="table" w:default="1" w:styleId="32">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6"/>
    <w:semiHidden/>
    <w:qFormat/>
    <w:uiPriority w:val="0"/>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8"/>
    <w:qFormat/>
    <w:uiPriority w:val="0"/>
    <w:pPr>
      <w:tabs>
        <w:tab w:val="left" w:pos="425"/>
      </w:tabs>
      <w:ind w:left="100" w:leftChars="200" w:hanging="200" w:hangingChars="200"/>
    </w:pPr>
  </w:style>
  <w:style w:type="paragraph" w:styleId="18">
    <w:name w:val="List"/>
    <w:basedOn w:val="1"/>
    <w:qFormat/>
    <w:uiPriority w:val="0"/>
    <w:pPr>
      <w:tabs>
        <w:tab w:val="left" w:pos="425"/>
      </w:tabs>
      <w:ind w:left="425" w:hanging="425"/>
    </w:pPr>
  </w:style>
  <w:style w:type="paragraph" w:styleId="19">
    <w:name w:val="Balloon Text"/>
    <w:basedOn w:val="1"/>
    <w:semiHidden/>
    <w:qFormat/>
    <w:uiPriority w:val="0"/>
    <w:rPr>
      <w:rFonts w:ascii="Tahoma" w:hAnsi="Tahoma" w:cs="Tahoma"/>
      <w:sz w:val="16"/>
      <w:szCs w:val="16"/>
    </w:rPr>
  </w:style>
  <w:style w:type="paragraph" w:styleId="20">
    <w:name w:val="footer"/>
    <w:basedOn w:val="21"/>
    <w:qFormat/>
    <w:uiPriority w:val="0"/>
    <w:pPr>
      <w:jc w:val="center"/>
    </w:pPr>
    <w:rPr>
      <w:i/>
    </w:rPr>
  </w:style>
  <w:style w:type="paragraph" w:styleId="21">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pPr>
      <w:spacing w:beforeAutospacing="1" w:after="0" w:afterAutospacing="1"/>
    </w:pPr>
    <w:rPr>
      <w:sz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1"/>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pPr>
      <w:keepNext/>
      <w:keepLines/>
      <w:spacing w:after="0"/>
      <w:jc w:val="center"/>
    </w:pPr>
    <w:rPr>
      <w:rFonts w:ascii="Arial" w:hAnsi="Arial" w:eastAsia="宋体"/>
      <w:b/>
      <w:sz w:val="18"/>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8"/>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4"/>
    <w:qFormat/>
    <w:uiPriority w:val="0"/>
    <w:rPr>
      <w:rFonts w:eastAsia="Times New Roman"/>
      <w:b/>
      <w:bCs/>
      <w:lang w:val="en-GB" w:eastAsia="en-US"/>
    </w:rPr>
  </w:style>
  <w:style w:type="character" w:customStyle="1" w:styleId="55">
    <w:name w:val="highlight"/>
    <w:basedOn w:val="25"/>
    <w:qFormat/>
    <w:uiPriority w:val="0"/>
  </w:style>
  <w:style w:type="character" w:customStyle="1" w:styleId="56">
    <w:name w:val="Comment Text Char"/>
    <w:link w:val="13"/>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7"/>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5"/>
    <w:qFormat/>
    <w:uiPriority w:val="0"/>
  </w:style>
  <w:style w:type="character" w:customStyle="1" w:styleId="62">
    <w:name w:val="B3 Char"/>
    <w:qFormat/>
    <w:uiPriority w:val="0"/>
    <w:rPr>
      <w:lang w:val="en-GB" w:eastAsia="ja-JP" w:bidi="ar-SA"/>
    </w:rPr>
  </w:style>
  <w:style w:type="character" w:customStyle="1" w:styleId="63">
    <w:name w:val="def"/>
    <w:basedOn w:val="25"/>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6"/>
    <w:qFormat/>
    <w:uiPriority w:val="0"/>
    <w:pPr>
      <w:numPr>
        <w:ilvl w:val="0"/>
        <w:numId w:val="7"/>
      </w:numPr>
      <w:tabs>
        <w:tab w:val="left" w:pos="1701"/>
      </w:tabs>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2">
    <w:name w:val="_Style 1"/>
    <w:basedOn w:val="1"/>
    <w:qFormat/>
    <w:uiPriority w:val="34"/>
    <w:pPr>
      <w:ind w:left="840" w:leftChars="400"/>
    </w:pPr>
  </w:style>
  <w:style w:type="paragraph" w:customStyle="1" w:styleId="123">
    <w:name w:val="List Paragraph2"/>
    <w:basedOn w:val="1"/>
    <w:qFormat/>
    <w:uiPriority w:val="34"/>
    <w:pPr>
      <w:ind w:left="840" w:leftChars="400"/>
    </w:pPr>
  </w:style>
  <w:style w:type="paragraph" w:customStyle="1" w:styleId="124">
    <w:name w:val="List Paragraph3"/>
    <w:basedOn w:val="1"/>
    <w:unhideWhenUsed/>
    <w:qFormat/>
    <w:uiPriority w:val="99"/>
    <w:pPr>
      <w:ind w:left="720"/>
      <w:contextualSpacing/>
    </w:pPr>
  </w:style>
  <w:style w:type="table" w:customStyle="1" w:styleId="125">
    <w:name w:val="Light Grid1"/>
    <w:basedOn w:val="32"/>
    <w:qFormat/>
    <w:uiPriority w:val="62"/>
    <w:rPr>
      <w:rFonts w:eastAsia="Times New Roman"/>
      <w:lang w:eastAsia="zh-TW"/>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paragraph" w:customStyle="1" w:styleId="126">
    <w:name w:val="References"/>
    <w:basedOn w:val="1"/>
    <w:qFormat/>
    <w:uiPriority w:val="0"/>
    <w:pPr>
      <w:numPr>
        <w:ilvl w:val="0"/>
        <w:numId w:val="9"/>
      </w:numPr>
      <w:adjustRightInd/>
      <w:spacing w:after="60"/>
    </w:pPr>
    <w:rPr>
      <w:sz w:val="20"/>
      <w:szCs w:val="16"/>
    </w:rPr>
  </w:style>
  <w:style w:type="character" w:customStyle="1" w:styleId="127">
    <w:name w:val="ZGSM"/>
    <w:qFormat/>
    <w:uiPriority w:val="0"/>
  </w:style>
  <w:style w:type="paragraph" w:customStyle="1" w:styleId="12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sz w:val="21"/>
      <w:szCs w:val="22"/>
      <w:lang w:val="en-GB" w:eastAsia="en-US" w:bidi="ar-SA"/>
    </w:rPr>
  </w:style>
  <w:style w:type="paragraph" w:customStyle="1" w:styleId="129">
    <w:name w:val="ZV"/>
    <w:basedOn w:val="128"/>
    <w:qFormat/>
    <w:uiPriority w:val="0"/>
    <w:pPr>
      <w:framePr w:y="16161"/>
    </w:pPr>
  </w:style>
  <w:style w:type="paragraph" w:customStyle="1" w:styleId="130">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paragraph" w:customStyle="1" w:styleId="131">
    <w:name w:val="列出段落2"/>
    <w:basedOn w:val="1"/>
    <w:qFormat/>
    <w:uiPriority w:val="34"/>
    <w:pPr>
      <w:overflowPunct w:val="0"/>
      <w:autoSpaceDE w:val="0"/>
      <w:autoSpaceDN w:val="0"/>
      <w:adjustRightInd w:val="0"/>
      <w:ind w:left="720"/>
      <w:contextualSpacing/>
      <w:textAlignment w:val="baseline"/>
    </w:pPr>
    <w:rPr>
      <w:rFonts w:eastAsia="宋体"/>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2.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2C3993-3037-4E92-AF27-48655D01FC88}">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3417</Words>
  <Characters>19481</Characters>
  <Lines>162</Lines>
  <Paragraphs>45</Paragraphs>
  <TotalTime>12</TotalTime>
  <ScaleCrop>false</ScaleCrop>
  <LinksUpToDate>false</LinksUpToDate>
  <CharactersWithSpaces>22853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2018-09-28T19:40:00Z</dcterms:created>
  <dc:creator>ZTE</dc:creator>
  <cp:lastModifiedBy>Yang Ling</cp:lastModifiedBy>
  <cp:lastPrinted>2018-02-16T23:29:00Z</cp:lastPrinted>
  <dcterms:modified xsi:type="dcterms:W3CDTF">2019-11-09T03:05:44Z</dcterms:modified>
  <dc:title>3GPP TSG RAN</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